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6FDF" w14:textId="70C2D6FE" w:rsidR="00D303A4" w:rsidRPr="000A3B51" w:rsidRDefault="000A3B51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0A3B51">
        <w:rPr>
          <w:rFonts w:ascii="Arial" w:hAnsi="Arial" w:cs="Arial"/>
          <w:b/>
          <w:bCs/>
          <w:sz w:val="22"/>
          <w:szCs w:val="22"/>
          <w:lang w:val="es-UY"/>
        </w:rPr>
        <w:t xml:space="preserve">Política de género, equidad, diversidad e inclusión para los proyectos científicos y las actividades de </w:t>
      </w:r>
      <w:r>
        <w:rPr>
          <w:rFonts w:ascii="Arial" w:hAnsi="Arial" w:cs="Arial"/>
          <w:b/>
          <w:bCs/>
          <w:sz w:val="22"/>
          <w:szCs w:val="22"/>
          <w:lang w:val="es-UY"/>
        </w:rPr>
        <w:t xml:space="preserve">desarrollo de </w:t>
      </w:r>
      <w:r w:rsidRPr="000A3B51">
        <w:rPr>
          <w:rFonts w:ascii="Arial" w:hAnsi="Arial" w:cs="Arial"/>
          <w:b/>
          <w:bCs/>
          <w:sz w:val="22"/>
          <w:szCs w:val="22"/>
          <w:lang w:val="es-UY"/>
        </w:rPr>
        <w:t>capaci</w:t>
      </w:r>
      <w:r>
        <w:rPr>
          <w:rFonts w:ascii="Arial" w:hAnsi="Arial" w:cs="Arial"/>
          <w:b/>
          <w:bCs/>
          <w:sz w:val="22"/>
          <w:szCs w:val="22"/>
          <w:lang w:val="es-UY"/>
        </w:rPr>
        <w:t>dades</w:t>
      </w:r>
      <w:r w:rsidRPr="000A3B51">
        <w:rPr>
          <w:rFonts w:ascii="Arial" w:hAnsi="Arial" w:cs="Arial"/>
          <w:b/>
          <w:bCs/>
          <w:sz w:val="22"/>
          <w:szCs w:val="22"/>
          <w:lang w:val="es-UY"/>
        </w:rPr>
        <w:t xml:space="preserve"> del IAI</w:t>
      </w:r>
    </w:p>
    <w:p w14:paraId="5FA8C008" w14:textId="77777777" w:rsidR="00D93B9F" w:rsidRPr="000A3B51" w:rsidRDefault="00D93B9F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4F6C8C76" w14:textId="5DC316AE" w:rsidR="00D303A4" w:rsidRPr="000A3B51" w:rsidRDefault="00340F6B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0A3B51">
        <w:rPr>
          <w:rFonts w:ascii="Arial" w:hAnsi="Arial" w:cs="Arial"/>
          <w:b/>
          <w:bCs/>
          <w:sz w:val="22"/>
          <w:szCs w:val="22"/>
          <w:lang w:val="es-UY"/>
        </w:rPr>
        <w:t>Introduc</w:t>
      </w:r>
      <w:r w:rsidR="000A3B51" w:rsidRPr="000A3B51">
        <w:rPr>
          <w:rFonts w:ascii="Arial" w:hAnsi="Arial" w:cs="Arial"/>
          <w:b/>
          <w:bCs/>
          <w:sz w:val="22"/>
          <w:szCs w:val="22"/>
          <w:lang w:val="es-UY"/>
        </w:rPr>
        <w:t>c</w:t>
      </w:r>
      <w:r w:rsidRPr="000A3B51">
        <w:rPr>
          <w:rFonts w:ascii="Arial" w:hAnsi="Arial" w:cs="Arial"/>
          <w:b/>
          <w:bCs/>
          <w:sz w:val="22"/>
          <w:szCs w:val="22"/>
          <w:lang w:val="es-UY"/>
        </w:rPr>
        <w:t>i</w:t>
      </w:r>
      <w:r w:rsidR="000A3B51" w:rsidRPr="000A3B51">
        <w:rPr>
          <w:rFonts w:ascii="Arial" w:hAnsi="Arial" w:cs="Arial"/>
          <w:b/>
          <w:bCs/>
          <w:sz w:val="22"/>
          <w:szCs w:val="22"/>
          <w:lang w:val="es-UY"/>
        </w:rPr>
        <w:t>ó</w:t>
      </w:r>
      <w:r w:rsidRPr="000A3B51">
        <w:rPr>
          <w:rFonts w:ascii="Arial" w:hAnsi="Arial" w:cs="Arial"/>
          <w:b/>
          <w:bCs/>
          <w:sz w:val="22"/>
          <w:szCs w:val="22"/>
          <w:lang w:val="es-UY"/>
        </w:rPr>
        <w:t>n</w:t>
      </w:r>
    </w:p>
    <w:p w14:paraId="20D2B984" w14:textId="77777777" w:rsidR="006F1CD7" w:rsidRPr="000A3B51" w:rsidRDefault="006F1CD7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6A1DEF0" w14:textId="32B9D4BF" w:rsidR="000A3B51" w:rsidRPr="000A3B51" w:rsidRDefault="000A3B51" w:rsidP="000A3B51">
      <w:pPr>
        <w:jc w:val="both"/>
        <w:rPr>
          <w:rFonts w:ascii="Arial" w:hAnsi="Arial" w:cs="Arial"/>
          <w:sz w:val="22"/>
          <w:szCs w:val="22"/>
          <w:lang w:val="es-UY"/>
        </w:rPr>
      </w:pPr>
      <w:r w:rsidRPr="000A3B51">
        <w:rPr>
          <w:rFonts w:ascii="Arial" w:hAnsi="Arial" w:cs="Arial"/>
          <w:sz w:val="22"/>
          <w:szCs w:val="22"/>
          <w:lang w:val="es-UY"/>
        </w:rPr>
        <w:t xml:space="preserve">La Conferencia de las Partes del Instituto Interamericano para la Investigación del Cambio Global (IAI), en su 28ª reunión, adoptó la Decisión XXVIII/6, que </w:t>
      </w:r>
      <w:r w:rsidRPr="000A3B51">
        <w:rPr>
          <w:rFonts w:ascii="Arial" w:hAnsi="Arial" w:cs="Arial"/>
          <w:i/>
          <w:iCs/>
          <w:sz w:val="22"/>
          <w:szCs w:val="22"/>
          <w:lang w:val="es-UY"/>
        </w:rPr>
        <w:t>instruye a la Dirección</w:t>
      </w:r>
      <w:r w:rsidR="00A25304">
        <w:rPr>
          <w:rFonts w:ascii="Arial" w:hAnsi="Arial" w:cs="Arial"/>
          <w:i/>
          <w:iCs/>
          <w:sz w:val="22"/>
          <w:szCs w:val="22"/>
          <w:lang w:val="es-UY"/>
        </w:rPr>
        <w:t xml:space="preserve"> Ejecutiva</w:t>
      </w:r>
      <w:r w:rsidRPr="000A3B51">
        <w:rPr>
          <w:rFonts w:ascii="Arial" w:hAnsi="Arial" w:cs="Arial"/>
          <w:i/>
          <w:iCs/>
          <w:sz w:val="22"/>
          <w:szCs w:val="22"/>
          <w:lang w:val="es-UY"/>
        </w:rPr>
        <w:t xml:space="preserve"> del IAI, en colaboración con el Consejo Ejecutivo, a desarrollar una política </w:t>
      </w:r>
      <w:r w:rsidR="00595927">
        <w:rPr>
          <w:rFonts w:ascii="Arial" w:hAnsi="Arial" w:cs="Arial"/>
          <w:i/>
          <w:iCs/>
          <w:sz w:val="22"/>
          <w:szCs w:val="22"/>
          <w:lang w:val="es-UY"/>
        </w:rPr>
        <w:t>de</w:t>
      </w:r>
      <w:r w:rsidRPr="000A3B51">
        <w:rPr>
          <w:rFonts w:ascii="Arial" w:hAnsi="Arial" w:cs="Arial"/>
          <w:i/>
          <w:iCs/>
          <w:sz w:val="22"/>
          <w:szCs w:val="22"/>
          <w:lang w:val="es-UY"/>
        </w:rPr>
        <w:t xml:space="preserve"> género </w:t>
      </w:r>
      <w:r w:rsidR="00595927">
        <w:rPr>
          <w:rFonts w:ascii="Arial" w:hAnsi="Arial" w:cs="Arial"/>
          <w:i/>
          <w:iCs/>
          <w:sz w:val="22"/>
          <w:szCs w:val="22"/>
          <w:lang w:val="es-UY"/>
        </w:rPr>
        <w:t>en</w:t>
      </w:r>
      <w:r w:rsidRPr="000A3B51">
        <w:rPr>
          <w:rFonts w:ascii="Arial" w:hAnsi="Arial" w:cs="Arial"/>
          <w:i/>
          <w:iCs/>
          <w:sz w:val="22"/>
          <w:szCs w:val="22"/>
          <w:lang w:val="es-UY"/>
        </w:rPr>
        <w:t xml:space="preserve"> los proyectos y actividades del IAI</w:t>
      </w:r>
      <w:r w:rsidRPr="000A3B51">
        <w:rPr>
          <w:rFonts w:ascii="Arial" w:hAnsi="Arial" w:cs="Arial"/>
          <w:sz w:val="22"/>
          <w:szCs w:val="22"/>
          <w:lang w:val="es-UY"/>
        </w:rPr>
        <w:t xml:space="preserve">. En su 29ª reunión, la Conferencia de las Partes adoptó la Decisión XXIX/7, que aprueba la </w:t>
      </w:r>
      <w:r w:rsidRPr="000A3B51">
        <w:rPr>
          <w:rFonts w:ascii="Arial" w:hAnsi="Arial" w:cs="Arial"/>
          <w:i/>
          <w:iCs/>
          <w:sz w:val="22"/>
          <w:szCs w:val="22"/>
          <w:lang w:val="es-UY"/>
        </w:rPr>
        <w:t>Política</w:t>
      </w:r>
      <w:r w:rsidRPr="000A3B51">
        <w:rPr>
          <w:rFonts w:ascii="Arial" w:hAnsi="Arial" w:cs="Arial"/>
          <w:sz w:val="22"/>
          <w:szCs w:val="22"/>
          <w:lang w:val="es-UY"/>
        </w:rPr>
        <w:t xml:space="preserve">, y también adoptó la Decisión XXIX/8, que establece: </w:t>
      </w:r>
    </w:p>
    <w:p w14:paraId="05865EBB" w14:textId="77777777" w:rsidR="003F6DED" w:rsidRPr="00A9202F" w:rsidRDefault="003F6DED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E88E4BC" w14:textId="49C0DA79" w:rsidR="003F6DED" w:rsidRPr="000A3B51" w:rsidRDefault="000A3B51" w:rsidP="000A3B51">
      <w:pPr>
        <w:ind w:left="709"/>
        <w:jc w:val="both"/>
        <w:rPr>
          <w:rFonts w:ascii="Arial" w:hAnsi="Arial" w:cs="Arial"/>
          <w:i/>
          <w:iCs/>
          <w:sz w:val="22"/>
          <w:szCs w:val="22"/>
          <w:lang w:val="es-UY"/>
        </w:rPr>
      </w:pPr>
      <w:r w:rsidRPr="000A3B51">
        <w:rPr>
          <w:rFonts w:ascii="Arial" w:hAnsi="Arial" w:cs="Arial"/>
          <w:i/>
          <w:iCs/>
          <w:sz w:val="22"/>
          <w:szCs w:val="22"/>
          <w:lang w:val="es-UY"/>
        </w:rPr>
        <w:t>La Conferencia de las Partes instruye a la Dirección Ejecutiva del IAI, en colaboración con el SAC y el SPAC a continuar revisando durante el período entre sesiones 2021/2022 la Política de Género en los proyectos y actividades del IAI a la luz de los comentarios y sugerencias realizadas por el Consejo Ejecutivo, las Partes y los Asociados para consideración por la 30a reunión de la Conferencia de las Partes.</w:t>
      </w:r>
    </w:p>
    <w:p w14:paraId="068A263B" w14:textId="77777777" w:rsidR="000A3B51" w:rsidRPr="000A3B51" w:rsidRDefault="000A3B51" w:rsidP="003F6DED">
      <w:pPr>
        <w:jc w:val="both"/>
        <w:rPr>
          <w:rFonts w:ascii="Arial" w:hAnsi="Arial" w:cs="Arial"/>
          <w:i/>
          <w:iCs/>
          <w:sz w:val="22"/>
          <w:szCs w:val="22"/>
          <w:lang w:val="es-UY"/>
        </w:rPr>
      </w:pPr>
    </w:p>
    <w:p w14:paraId="64CD692E" w14:textId="71D04B83" w:rsidR="00595927" w:rsidRPr="00595927" w:rsidRDefault="00595927" w:rsidP="00595927">
      <w:pPr>
        <w:jc w:val="both"/>
        <w:rPr>
          <w:rFonts w:ascii="Arial" w:hAnsi="Arial" w:cs="Arial"/>
          <w:sz w:val="22"/>
          <w:szCs w:val="22"/>
          <w:lang w:val="es-UY"/>
        </w:rPr>
      </w:pPr>
      <w:r w:rsidRPr="00595927">
        <w:rPr>
          <w:rFonts w:ascii="Arial" w:hAnsi="Arial" w:cs="Arial"/>
          <w:sz w:val="22"/>
          <w:szCs w:val="22"/>
          <w:lang w:val="es-UY"/>
        </w:rPr>
        <w:t xml:space="preserve">En el desarrollo de la nueva Política de Género, Equidad, Diversidad e Inclusión en Proyectos Científicos y </w:t>
      </w:r>
      <w:r>
        <w:rPr>
          <w:rFonts w:ascii="Arial" w:hAnsi="Arial" w:cs="Arial"/>
          <w:sz w:val="22"/>
          <w:szCs w:val="22"/>
          <w:lang w:val="es-UY"/>
        </w:rPr>
        <w:t>a</w:t>
      </w:r>
      <w:r w:rsidRPr="00595927">
        <w:rPr>
          <w:rFonts w:ascii="Arial" w:hAnsi="Arial" w:cs="Arial"/>
          <w:sz w:val="22"/>
          <w:szCs w:val="22"/>
          <w:lang w:val="es-UY"/>
        </w:rPr>
        <w:t>ctividades de</w:t>
      </w:r>
      <w:r>
        <w:rPr>
          <w:rFonts w:ascii="Arial" w:hAnsi="Arial" w:cs="Arial"/>
          <w:sz w:val="22"/>
          <w:szCs w:val="22"/>
          <w:lang w:val="es-UY"/>
        </w:rPr>
        <w:t xml:space="preserve"> Desarrollo de Capacidades</w:t>
      </w:r>
      <w:r w:rsidRPr="00595927">
        <w:rPr>
          <w:rFonts w:ascii="Arial" w:hAnsi="Arial" w:cs="Arial"/>
          <w:sz w:val="22"/>
          <w:szCs w:val="22"/>
          <w:lang w:val="es-UY"/>
        </w:rPr>
        <w:t xml:space="preserve"> del IAI, 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595927">
        <w:rPr>
          <w:rFonts w:ascii="Arial" w:hAnsi="Arial" w:cs="Arial"/>
          <w:sz w:val="22"/>
          <w:szCs w:val="22"/>
          <w:lang w:val="es-UY"/>
        </w:rPr>
        <w:t xml:space="preserve"> del IAI buscó el asesoramiento del Consejo Ejecutivo del IAI, el Comité Asesor Científico (SAC) y el Comité Asesor </w:t>
      </w:r>
      <w:r>
        <w:rPr>
          <w:rFonts w:ascii="Arial" w:hAnsi="Arial" w:cs="Arial"/>
          <w:sz w:val="22"/>
          <w:szCs w:val="22"/>
          <w:lang w:val="es-UY"/>
        </w:rPr>
        <w:t xml:space="preserve">en Ciencia y </w:t>
      </w:r>
      <w:r w:rsidRPr="00595927">
        <w:rPr>
          <w:rFonts w:ascii="Arial" w:hAnsi="Arial" w:cs="Arial"/>
          <w:sz w:val="22"/>
          <w:szCs w:val="22"/>
          <w:lang w:val="es-UY"/>
        </w:rPr>
        <w:t xml:space="preserve"> Políticas (SPAC) para incluir los comentarios realizados por las Partes, los miembros del SAC y el SPAC y otras personas que brindan asesoramiento de la comunidad del IAI. También se consultaron las políticas actuales de importantes universidades, organizaciones intergubernamentales, organismos de financiación de la ciencia y asociaciones científicas para ampliar el conjunto de conocimientos y enfoques relacionados con la equidad, la diversidad y la inclusión (EDI), el género y la ciencia.</w:t>
      </w:r>
    </w:p>
    <w:p w14:paraId="4C74E022" w14:textId="77777777" w:rsidR="003F6DED" w:rsidRPr="00A9202F" w:rsidRDefault="003F6DED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C35335B" w14:textId="365DAD09" w:rsidR="00595927" w:rsidRPr="00595927" w:rsidRDefault="00595927" w:rsidP="00595927">
      <w:pPr>
        <w:jc w:val="both"/>
        <w:rPr>
          <w:rFonts w:ascii="Arial" w:hAnsi="Arial" w:cs="Arial"/>
          <w:sz w:val="22"/>
          <w:szCs w:val="22"/>
          <w:lang w:val="es-UY"/>
        </w:rPr>
      </w:pPr>
      <w:r w:rsidRPr="00595927">
        <w:rPr>
          <w:rFonts w:ascii="Arial" w:hAnsi="Arial" w:cs="Arial"/>
          <w:sz w:val="22"/>
          <w:szCs w:val="22"/>
          <w:lang w:val="es-UY"/>
        </w:rPr>
        <w:t xml:space="preserve">Esta política tiene como objetivo garantizar que la </w:t>
      </w:r>
      <w:r w:rsidR="00B76F73">
        <w:rPr>
          <w:rFonts w:ascii="Arial" w:hAnsi="Arial" w:cs="Arial"/>
          <w:sz w:val="22"/>
          <w:szCs w:val="22"/>
          <w:lang w:val="es-UY"/>
        </w:rPr>
        <w:t>EDI</w:t>
      </w:r>
      <w:r w:rsidRPr="00595927">
        <w:rPr>
          <w:rFonts w:ascii="Arial" w:hAnsi="Arial" w:cs="Arial"/>
          <w:sz w:val="22"/>
          <w:szCs w:val="22"/>
          <w:lang w:val="es-UY"/>
        </w:rPr>
        <w:t xml:space="preserve">, incluyendo las consideraciones de género, se integre en los proyectos científicos del IAI y en las actividades de </w:t>
      </w:r>
      <w:r w:rsidR="003A3857">
        <w:rPr>
          <w:rFonts w:ascii="Arial" w:hAnsi="Arial" w:cs="Arial"/>
          <w:sz w:val="22"/>
          <w:szCs w:val="22"/>
          <w:lang w:val="es-UY"/>
        </w:rPr>
        <w:t>desarrollo</w:t>
      </w:r>
      <w:r w:rsidRPr="00595927">
        <w:rPr>
          <w:rFonts w:ascii="Arial" w:hAnsi="Arial" w:cs="Arial"/>
          <w:sz w:val="22"/>
          <w:szCs w:val="22"/>
          <w:lang w:val="es-UY"/>
        </w:rPr>
        <w:t xml:space="preserve"> de capacidades, y que las actividades de la </w:t>
      </w:r>
      <w:r w:rsidR="00B76F73">
        <w:rPr>
          <w:rFonts w:ascii="Arial" w:hAnsi="Arial" w:cs="Arial"/>
          <w:sz w:val="22"/>
          <w:szCs w:val="22"/>
          <w:lang w:val="es-UY"/>
        </w:rPr>
        <w:t>EDI</w:t>
      </w:r>
      <w:r w:rsidRPr="00595927">
        <w:rPr>
          <w:rFonts w:ascii="Arial" w:hAnsi="Arial" w:cs="Arial"/>
          <w:sz w:val="22"/>
          <w:szCs w:val="22"/>
          <w:lang w:val="es-UY"/>
        </w:rPr>
        <w:t xml:space="preserve"> se alineen con las de las Partes del IAI. Esta Política pretende facilitar la participación plena y equitativa de los grupos subrepresentados en las actividades del IAI, en particular las centradas en la ciencia y el desarrollo de capacidades, teniendo en cuenta también las cuestiones relacionadas con el género. En última instancia, esta Política pretende apoyar los esfuerzos regionales para desarrollar la ciencia de mayor calidad y mejorar la capacidad de los gobiernos para desarrollar políticas públicas relevantes para el cambio global.</w:t>
      </w:r>
    </w:p>
    <w:p w14:paraId="3BB8A442" w14:textId="6C22BFA4" w:rsidR="001D5336" w:rsidRPr="00A9202F" w:rsidRDefault="001D5336" w:rsidP="001D5336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62197C37" w14:textId="77777777" w:rsidR="003A3857" w:rsidRPr="003A3857" w:rsidRDefault="003A3857" w:rsidP="003A3857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A3857">
        <w:rPr>
          <w:rFonts w:ascii="Arial" w:hAnsi="Arial" w:cs="Arial"/>
          <w:sz w:val="22"/>
          <w:szCs w:val="22"/>
          <w:lang w:val="es-UY"/>
        </w:rPr>
        <w:t xml:space="preserve">Los grupos subrepresentados incluyen, entre otros, a las mujeres, los pueblos indígenas, las personas con discapacidades, los miembros de minorías visibles/grupos racializados y los miembros de las comunidades LGBTQ+. </w:t>
      </w:r>
    </w:p>
    <w:p w14:paraId="06BF4564" w14:textId="77777777" w:rsidR="003A3857" w:rsidRPr="003A3857" w:rsidRDefault="003A3857" w:rsidP="003A3857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F014452" w14:textId="4235C298" w:rsidR="003A3857" w:rsidRPr="003A3857" w:rsidRDefault="003A3857" w:rsidP="003A3857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A3857">
        <w:rPr>
          <w:rFonts w:ascii="Arial" w:hAnsi="Arial" w:cs="Arial"/>
          <w:sz w:val="22"/>
          <w:szCs w:val="22"/>
          <w:lang w:val="es-UY"/>
        </w:rPr>
        <w:t xml:space="preserve">Esta política también establece un marco que apoya los principios a los que se adhiere el IAI sobre ciencia abierta y metodologías transdisciplinarias, especialmente en lo que respecta a la participación equitativa de las personas afectadas por el proyecto o actividad. </w:t>
      </w:r>
      <w:r>
        <w:rPr>
          <w:rFonts w:ascii="Arial" w:hAnsi="Arial" w:cs="Arial"/>
          <w:sz w:val="22"/>
          <w:szCs w:val="22"/>
          <w:lang w:val="es-UY"/>
        </w:rPr>
        <w:t>La misma t</w:t>
      </w:r>
      <w:r w:rsidRPr="003A3857">
        <w:rPr>
          <w:rFonts w:ascii="Arial" w:hAnsi="Arial" w:cs="Arial"/>
          <w:sz w:val="22"/>
          <w:szCs w:val="22"/>
          <w:lang w:val="es-UY"/>
        </w:rPr>
        <w:t>oma nota, en particular, de la Recomendación de la UNESCO sobre la Ciencia Abierta</w:t>
      </w:r>
      <w:r w:rsidR="005A019F">
        <w:rPr>
          <w:rStyle w:val="Refdenotaalpie"/>
          <w:rFonts w:ascii="Arial" w:hAnsi="Arial" w:cs="Arial"/>
          <w:sz w:val="22"/>
          <w:szCs w:val="22"/>
          <w:lang w:val="es-UY"/>
        </w:rPr>
        <w:footnoteReference w:id="1"/>
      </w:r>
      <w:r w:rsidRPr="003A3857">
        <w:rPr>
          <w:rFonts w:ascii="Arial" w:hAnsi="Arial" w:cs="Arial"/>
          <w:sz w:val="22"/>
          <w:szCs w:val="22"/>
          <w:lang w:val="es-UY"/>
        </w:rPr>
        <w:t xml:space="preserve"> que la Conferencia General de la UNESCO adoptó en su 41ª sesión, del 9 al 24 de noviembre de 2021, </w:t>
      </w:r>
      <w:r>
        <w:rPr>
          <w:rFonts w:ascii="Arial" w:hAnsi="Arial" w:cs="Arial"/>
          <w:sz w:val="22"/>
          <w:szCs w:val="22"/>
          <w:lang w:val="es-UY"/>
        </w:rPr>
        <w:t>la cual</w:t>
      </w:r>
      <w:r w:rsidRPr="003A3857">
        <w:rPr>
          <w:rFonts w:ascii="Arial" w:hAnsi="Arial" w:cs="Arial"/>
          <w:sz w:val="22"/>
          <w:szCs w:val="22"/>
          <w:lang w:val="es-UY"/>
        </w:rPr>
        <w:t xml:space="preserve"> establece</w:t>
      </w:r>
      <w:r>
        <w:rPr>
          <w:rFonts w:ascii="Arial" w:hAnsi="Arial" w:cs="Arial"/>
          <w:sz w:val="22"/>
          <w:szCs w:val="22"/>
          <w:lang w:val="es-UY"/>
        </w:rPr>
        <w:t>:</w:t>
      </w:r>
    </w:p>
    <w:p w14:paraId="0D88FDE1" w14:textId="77777777" w:rsidR="003F6DED" w:rsidRPr="003A3857" w:rsidRDefault="003F6DED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64FDC7A" w14:textId="6917036D" w:rsidR="006F1CD7" w:rsidRPr="00CD436E" w:rsidRDefault="003A3857" w:rsidP="00CD436E">
      <w:pPr>
        <w:ind w:left="540"/>
        <w:jc w:val="both"/>
        <w:rPr>
          <w:rFonts w:ascii="Arial" w:hAnsi="Arial" w:cs="Arial"/>
          <w:i/>
          <w:iCs/>
          <w:sz w:val="22"/>
          <w:szCs w:val="22"/>
          <w:lang w:val="es-UY"/>
        </w:rPr>
      </w:pPr>
      <w:r w:rsidRPr="003A3857">
        <w:rPr>
          <w:rFonts w:ascii="Arial" w:hAnsi="Arial" w:cs="Arial"/>
          <w:i/>
          <w:iCs/>
          <w:sz w:val="22"/>
          <w:szCs w:val="22"/>
          <w:lang w:val="es-UY"/>
        </w:rPr>
        <w:t>Recon</w:t>
      </w:r>
      <w:r w:rsidR="00CD436E">
        <w:rPr>
          <w:rFonts w:ascii="Arial" w:hAnsi="Arial" w:cs="Arial"/>
          <w:i/>
          <w:iCs/>
          <w:sz w:val="22"/>
          <w:szCs w:val="22"/>
          <w:lang w:val="es-UY"/>
        </w:rPr>
        <w:t>ocer</w:t>
      </w:r>
      <w:r w:rsidRPr="003A3857">
        <w:rPr>
          <w:rFonts w:ascii="Arial" w:hAnsi="Arial" w:cs="Arial"/>
          <w:i/>
          <w:iCs/>
          <w:sz w:val="22"/>
          <w:szCs w:val="22"/>
          <w:lang w:val="es-UY"/>
        </w:rPr>
        <w:t xml:space="preserve"> que</w:t>
      </w:r>
      <w:r w:rsidR="00CD436E">
        <w:rPr>
          <w:rFonts w:ascii="Arial" w:hAnsi="Arial" w:cs="Arial"/>
          <w:i/>
          <w:iCs/>
          <w:sz w:val="22"/>
          <w:szCs w:val="22"/>
          <w:lang w:val="es-UY"/>
        </w:rPr>
        <w:t xml:space="preserve"> la </w:t>
      </w:r>
      <w:r w:rsidRPr="003A3857">
        <w:rPr>
          <w:rFonts w:ascii="Arial" w:hAnsi="Arial" w:cs="Arial"/>
          <w:i/>
          <w:iCs/>
          <w:sz w:val="22"/>
          <w:szCs w:val="22"/>
          <w:lang w:val="es-UY"/>
        </w:rPr>
        <w:t xml:space="preserve">ciencia abierta no sólo debe fomentar un mayor intercambio de conocimientos científicos únicamente entre las comunidades científicas, sino también promover la inclusión y el intercambio de conocimientos académicos de grupos tradicionalmente subrepresentados o excluidos (como las mujeres, las minorías, los </w:t>
      </w:r>
      <w:r w:rsidR="00941B61">
        <w:rPr>
          <w:rFonts w:ascii="Arial" w:hAnsi="Arial" w:cs="Arial"/>
          <w:i/>
          <w:iCs/>
          <w:sz w:val="22"/>
          <w:szCs w:val="22"/>
          <w:lang w:val="es-UY"/>
        </w:rPr>
        <w:t>becarios</w:t>
      </w:r>
      <w:r w:rsidRPr="003A3857">
        <w:rPr>
          <w:rFonts w:ascii="Arial" w:hAnsi="Arial" w:cs="Arial"/>
          <w:i/>
          <w:iCs/>
          <w:sz w:val="22"/>
          <w:szCs w:val="22"/>
          <w:lang w:val="es-UY"/>
        </w:rPr>
        <w:t xml:space="preserve"> indígenas, los </w:t>
      </w:r>
      <w:r w:rsidR="00941B61">
        <w:rPr>
          <w:rFonts w:ascii="Arial" w:hAnsi="Arial" w:cs="Arial"/>
          <w:i/>
          <w:iCs/>
          <w:sz w:val="22"/>
          <w:szCs w:val="22"/>
          <w:lang w:val="es-UY"/>
        </w:rPr>
        <w:t>becarios</w:t>
      </w:r>
      <w:r w:rsidRPr="003A3857">
        <w:rPr>
          <w:rFonts w:ascii="Arial" w:hAnsi="Arial" w:cs="Arial"/>
          <w:i/>
          <w:iCs/>
          <w:sz w:val="22"/>
          <w:szCs w:val="22"/>
          <w:lang w:val="es-UY"/>
        </w:rPr>
        <w:t xml:space="preserve"> de países menos favorecidos y las lenguas de bajos recursos) y contribuir a reducir las desigualdades en el acceso al desarrollo científico, las infraestructuras y las capacidades entre los distintos países y regiones. </w:t>
      </w:r>
    </w:p>
    <w:p w14:paraId="6AB87170" w14:textId="77777777" w:rsidR="006F1CD7" w:rsidRPr="00CD436E" w:rsidRDefault="006F1CD7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1218F5B" w14:textId="77777777" w:rsidR="00E87E85" w:rsidRPr="00A9202F" w:rsidRDefault="00E87E85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5E143270" w14:textId="567426A6" w:rsidR="00E87E85" w:rsidRPr="00E87E85" w:rsidRDefault="00E87E85" w:rsidP="00E87E85">
      <w:pPr>
        <w:jc w:val="both"/>
        <w:rPr>
          <w:rFonts w:ascii="Arial" w:hAnsi="Arial" w:cs="Arial"/>
          <w:sz w:val="22"/>
          <w:szCs w:val="22"/>
          <w:lang w:val="es-UY"/>
        </w:rPr>
      </w:pPr>
      <w:r w:rsidRPr="00E87E85">
        <w:rPr>
          <w:rFonts w:ascii="Arial" w:hAnsi="Arial" w:cs="Arial"/>
          <w:sz w:val="22"/>
          <w:szCs w:val="22"/>
          <w:lang w:val="es-UY"/>
        </w:rPr>
        <w:lastRenderedPageBreak/>
        <w:t xml:space="preserve">La aplicación efectiva de la política requerirá el compromiso y el apoyo organizativo de la Conferencia de las Partes, el Consejo Ejecutivo, el Comité Asesor Científico, el Comité Asesor </w:t>
      </w:r>
      <w:r>
        <w:rPr>
          <w:rFonts w:ascii="Arial" w:hAnsi="Arial" w:cs="Arial"/>
          <w:sz w:val="22"/>
          <w:szCs w:val="22"/>
          <w:lang w:val="es-UY"/>
        </w:rPr>
        <w:t xml:space="preserve">en Ciencia y Políticas </w:t>
      </w:r>
      <w:r w:rsidRPr="00E87E85">
        <w:rPr>
          <w:rFonts w:ascii="Arial" w:hAnsi="Arial" w:cs="Arial"/>
          <w:sz w:val="22"/>
          <w:szCs w:val="22"/>
          <w:lang w:val="es-UY"/>
        </w:rPr>
        <w:t>y 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E87E85">
        <w:rPr>
          <w:rFonts w:ascii="Arial" w:hAnsi="Arial" w:cs="Arial"/>
          <w:sz w:val="22"/>
          <w:szCs w:val="22"/>
          <w:lang w:val="es-UY"/>
        </w:rPr>
        <w:t>.</w:t>
      </w:r>
    </w:p>
    <w:p w14:paraId="47DFD119" w14:textId="77777777" w:rsidR="00E87E85" w:rsidRPr="00E87E85" w:rsidRDefault="00E87E85" w:rsidP="00E87E85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06580D3" w14:textId="2FF8C79C" w:rsidR="00E87E85" w:rsidRPr="00E87E85" w:rsidRDefault="00E87E85" w:rsidP="00E87E85">
      <w:pPr>
        <w:jc w:val="both"/>
        <w:rPr>
          <w:rFonts w:ascii="Arial" w:hAnsi="Arial" w:cs="Arial"/>
          <w:sz w:val="22"/>
          <w:szCs w:val="22"/>
          <w:lang w:val="es-UY"/>
        </w:rPr>
      </w:pPr>
      <w:r w:rsidRPr="00E87E85">
        <w:rPr>
          <w:rFonts w:ascii="Arial" w:hAnsi="Arial" w:cs="Arial"/>
          <w:sz w:val="22"/>
          <w:szCs w:val="22"/>
          <w:lang w:val="es-UY"/>
        </w:rPr>
        <w:t>Según corresponda, la Política de Género y Equidad, Diversidad e Inclusión en los Proyectos y Actividades del IAI se aplica a todas las actividades científicas, de desarrollo de capacidades, de datos abiertos, de política científica y otras del IAI. Establece objetivos relacionados con el género, según corresponda, para la administración y ejecución de estas actividades por parte de la Dirección</w:t>
      </w:r>
      <w:r w:rsidR="00A44A79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E87E85">
        <w:rPr>
          <w:rFonts w:ascii="Arial" w:hAnsi="Arial" w:cs="Arial"/>
          <w:sz w:val="22"/>
          <w:szCs w:val="22"/>
          <w:lang w:val="es-UY"/>
        </w:rPr>
        <w:t xml:space="preserve"> del IAI. </w:t>
      </w:r>
    </w:p>
    <w:p w14:paraId="010C0934" w14:textId="77777777" w:rsidR="00E87E85" w:rsidRPr="00E87E85" w:rsidRDefault="00E87E85" w:rsidP="00E87E85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5AB3E07" w14:textId="21334E90" w:rsidR="00CC5398" w:rsidRPr="00A44A79" w:rsidRDefault="00E87E85" w:rsidP="003F6DED">
      <w:pPr>
        <w:jc w:val="both"/>
        <w:rPr>
          <w:rFonts w:ascii="Arial" w:hAnsi="Arial" w:cs="Arial"/>
          <w:sz w:val="22"/>
          <w:szCs w:val="22"/>
          <w:lang w:val="es-UY"/>
        </w:rPr>
      </w:pPr>
      <w:r w:rsidRPr="00E87E85">
        <w:rPr>
          <w:rFonts w:ascii="Arial" w:hAnsi="Arial" w:cs="Arial"/>
          <w:sz w:val="22"/>
          <w:szCs w:val="22"/>
          <w:lang w:val="es-UY"/>
        </w:rPr>
        <w:t>El IAI reconoce la soberanía de las Partes y, por lo tanto, esta Política no reemplaza de ninguna manera la legislación, las políticas y las estructuras nacionales. Asimismo, reconoce las necesidades y requisitos especiales que puedan solicitar los donantes y otorgantes.</w:t>
      </w:r>
    </w:p>
    <w:p w14:paraId="350BFF41" w14:textId="77777777" w:rsidR="006F1CD7" w:rsidRPr="00A9202F" w:rsidRDefault="006F1CD7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7DCE80C" w14:textId="77777777" w:rsidR="00D303A4" w:rsidRPr="00A9202F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0BEE50F" w14:textId="1D35847A" w:rsidR="00D303A4" w:rsidRPr="00A9202F" w:rsidRDefault="00D47CE9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A9202F">
        <w:rPr>
          <w:rFonts w:ascii="Arial" w:hAnsi="Arial" w:cs="Arial"/>
          <w:b/>
          <w:bCs/>
          <w:sz w:val="22"/>
          <w:szCs w:val="22"/>
          <w:lang w:val="es-UY"/>
        </w:rPr>
        <w:t>Justificación</w:t>
      </w:r>
    </w:p>
    <w:p w14:paraId="26663BFB" w14:textId="77777777" w:rsidR="00D303A4" w:rsidRPr="00A9202F" w:rsidRDefault="00D303A4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301065B0" w14:textId="156BE472" w:rsidR="00D47CE9" w:rsidRPr="00D47CE9" w:rsidRDefault="00D47CE9" w:rsidP="00D47CE9">
      <w:pPr>
        <w:jc w:val="both"/>
        <w:rPr>
          <w:rFonts w:ascii="Arial" w:hAnsi="Arial" w:cs="Arial"/>
          <w:sz w:val="22"/>
          <w:szCs w:val="22"/>
          <w:lang w:val="es-UY"/>
        </w:rPr>
      </w:pPr>
      <w:r w:rsidRPr="00D47CE9">
        <w:rPr>
          <w:rFonts w:ascii="Arial" w:hAnsi="Arial" w:cs="Arial"/>
          <w:sz w:val="22"/>
          <w:szCs w:val="22"/>
          <w:lang w:val="es-UY"/>
        </w:rPr>
        <w:t xml:space="preserve">Las Partes del IAI se enfrentan a graves desafíos debido al cambio ambiental global, </w:t>
      </w:r>
      <w:r>
        <w:rPr>
          <w:rFonts w:ascii="Arial" w:hAnsi="Arial" w:cs="Arial"/>
          <w:sz w:val="22"/>
          <w:szCs w:val="22"/>
          <w:lang w:val="es-UY"/>
        </w:rPr>
        <w:t>lo cual</w:t>
      </w:r>
      <w:r w:rsidRPr="00D47CE9">
        <w:rPr>
          <w:rFonts w:ascii="Arial" w:hAnsi="Arial" w:cs="Arial"/>
          <w:sz w:val="22"/>
          <w:szCs w:val="22"/>
          <w:lang w:val="es-UY"/>
        </w:rPr>
        <w:t xml:space="preserve"> requiere diversas perspectivas para identificar soluciones viables. Además, existe un vínculo vital entre el género, la equidad social y el cambio climático</w:t>
      </w:r>
      <w:r w:rsidR="0072790F">
        <w:rPr>
          <w:rStyle w:val="Refdenotaalpie"/>
          <w:rFonts w:ascii="Arial" w:hAnsi="Arial" w:cs="Arial"/>
          <w:sz w:val="22"/>
          <w:szCs w:val="22"/>
          <w:lang w:val="es-UY"/>
        </w:rPr>
        <w:footnoteReference w:id="2"/>
      </w:r>
      <w:r w:rsidRPr="00D47CE9">
        <w:rPr>
          <w:rFonts w:ascii="Arial" w:hAnsi="Arial" w:cs="Arial"/>
          <w:sz w:val="22"/>
          <w:szCs w:val="22"/>
          <w:lang w:val="es-UY"/>
        </w:rPr>
        <w:t xml:space="preserve">. La agenda científica del IAI exige la participación de diversas partes interesadas a través de la ciencia transdisciplinaria (TD) en todas las etapas de la producción de conocimientos, desde la financiación de la investigación, el diseño, la implementación y la difusión. </w:t>
      </w:r>
    </w:p>
    <w:p w14:paraId="0019EE4D" w14:textId="77777777" w:rsidR="00D47CE9" w:rsidRPr="00D47CE9" w:rsidRDefault="00D47CE9" w:rsidP="00D47CE9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72210CF" w14:textId="77777777" w:rsidR="00D47CE9" w:rsidRDefault="00D47CE9" w:rsidP="00D47CE9">
      <w:pPr>
        <w:jc w:val="both"/>
        <w:rPr>
          <w:rFonts w:ascii="Arial" w:hAnsi="Arial" w:cs="Arial"/>
          <w:sz w:val="22"/>
          <w:szCs w:val="22"/>
          <w:lang w:val="es-UY"/>
        </w:rPr>
      </w:pPr>
      <w:r w:rsidRPr="00D47CE9">
        <w:rPr>
          <w:rFonts w:ascii="Arial" w:hAnsi="Arial" w:cs="Arial"/>
          <w:sz w:val="22"/>
          <w:szCs w:val="22"/>
          <w:lang w:val="es-UY"/>
        </w:rPr>
        <w:t>Los informes han destacado las desigualdades históricas y persistentes y la subrepresentación de grupos específicos en la producción y circulación del conocimiento en la región de las Américas</w:t>
      </w:r>
    </w:p>
    <w:p w14:paraId="18D069CE" w14:textId="69E7556D" w:rsidR="0081154E" w:rsidRPr="00A9202F" w:rsidRDefault="0081154E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49EB2571" w14:textId="039E426E" w:rsidR="00D47CE9" w:rsidRPr="00F852D5" w:rsidRDefault="00D47CE9" w:rsidP="00D47CE9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  <w:r w:rsidRPr="00D47CE9">
        <w:rPr>
          <w:rFonts w:ascii="Arial" w:hAnsi="Arial" w:cs="Arial"/>
          <w:color w:val="000000"/>
          <w:sz w:val="22"/>
          <w:szCs w:val="22"/>
          <w:lang w:val="es-UY"/>
        </w:rPr>
        <w:t xml:space="preserve">En Estados Unidos, </w:t>
      </w:r>
      <w:r w:rsidRPr="00F852D5">
        <w:rPr>
          <w:rFonts w:ascii="Arial" w:hAnsi="Arial" w:cs="Arial"/>
          <w:i/>
          <w:iCs/>
          <w:color w:val="000000"/>
          <w:sz w:val="22"/>
          <w:szCs w:val="22"/>
          <w:lang w:val="es-UY"/>
        </w:rPr>
        <w:t>las mujeres, las personas con discapacidad y tres grupos raciales y étnicos</w:t>
      </w:r>
      <w:r w:rsidRPr="00D47CE9">
        <w:rPr>
          <w:rFonts w:ascii="Arial" w:hAnsi="Arial" w:cs="Arial"/>
          <w:color w:val="000000"/>
          <w:sz w:val="22"/>
          <w:szCs w:val="22"/>
          <w:lang w:val="es-UY"/>
        </w:rPr>
        <w:t xml:space="preserve"> -</w:t>
      </w:r>
      <w:r w:rsidRPr="00F852D5">
        <w:rPr>
          <w:rFonts w:ascii="Arial" w:hAnsi="Arial" w:cs="Arial"/>
          <w:i/>
          <w:iCs/>
          <w:color w:val="000000"/>
          <w:sz w:val="22"/>
          <w:szCs w:val="22"/>
          <w:lang w:val="es-UY"/>
        </w:rPr>
        <w:t>negros, hispanos e indios americanos o nativos de Alaska-</w:t>
      </w:r>
      <w:r w:rsidRPr="00D47CE9">
        <w:rPr>
          <w:rFonts w:ascii="Arial" w:hAnsi="Arial" w:cs="Arial"/>
          <w:color w:val="000000"/>
          <w:sz w:val="22"/>
          <w:szCs w:val="22"/>
          <w:lang w:val="es-UY"/>
        </w:rPr>
        <w:t xml:space="preserve"> están infrarrepresentados en </w:t>
      </w:r>
      <w:r w:rsidR="005358FD">
        <w:rPr>
          <w:rFonts w:ascii="Arial" w:hAnsi="Arial" w:cs="Arial"/>
          <w:color w:val="000000"/>
          <w:sz w:val="22"/>
          <w:szCs w:val="22"/>
          <w:lang w:val="es-UY"/>
        </w:rPr>
        <w:t>C</w:t>
      </w:r>
      <w:r w:rsidRPr="00D47CE9">
        <w:rPr>
          <w:rFonts w:ascii="Arial" w:hAnsi="Arial" w:cs="Arial"/>
          <w:color w:val="000000"/>
          <w:sz w:val="22"/>
          <w:szCs w:val="22"/>
          <w:lang w:val="es-UY"/>
        </w:rPr>
        <w:t>&amp;</w:t>
      </w:r>
      <w:r w:rsidR="004C6113">
        <w:rPr>
          <w:rFonts w:ascii="Arial" w:hAnsi="Arial" w:cs="Arial"/>
          <w:color w:val="000000"/>
          <w:sz w:val="22"/>
          <w:szCs w:val="22"/>
          <w:lang w:val="es-UY"/>
        </w:rPr>
        <w:t>I</w:t>
      </w:r>
      <w:r w:rsidRPr="00D47CE9">
        <w:rPr>
          <w:rFonts w:ascii="Arial" w:hAnsi="Arial" w:cs="Arial"/>
          <w:color w:val="000000"/>
          <w:sz w:val="22"/>
          <w:szCs w:val="22"/>
          <w:lang w:val="es-UY"/>
        </w:rPr>
        <w:t xml:space="preserve"> [ciencia e ingeniería]</w:t>
      </w:r>
      <w:r w:rsidR="00D25F93">
        <w:rPr>
          <w:rStyle w:val="Refdenotaalpie"/>
          <w:rFonts w:ascii="Arial" w:hAnsi="Arial" w:cs="Arial"/>
          <w:color w:val="000000"/>
          <w:sz w:val="22"/>
          <w:szCs w:val="22"/>
          <w:lang w:val="es-UY"/>
        </w:rPr>
        <w:footnoteReference w:id="3"/>
      </w:r>
      <w:r w:rsidRPr="00D47CE9">
        <w:rPr>
          <w:rFonts w:ascii="Arial" w:hAnsi="Arial" w:cs="Arial"/>
          <w:color w:val="000000"/>
          <w:sz w:val="22"/>
          <w:szCs w:val="22"/>
          <w:lang w:val="es-UY"/>
        </w:rPr>
        <w:t>. Las mujeres son casi la mitad de la mano de obra, pero representan el 27,5% de la mano de obra de STEM en EE.UU</w:t>
      </w:r>
      <w:r w:rsidR="00D25F93">
        <w:rPr>
          <w:rStyle w:val="Refdenotaalpie"/>
          <w:rFonts w:ascii="Arial" w:hAnsi="Arial" w:cs="Arial"/>
          <w:color w:val="000000"/>
          <w:sz w:val="22"/>
          <w:szCs w:val="22"/>
          <w:lang w:val="es-UY"/>
        </w:rPr>
        <w:footnoteReference w:id="4"/>
      </w:r>
      <w:r w:rsidRPr="00D47CE9">
        <w:rPr>
          <w:rFonts w:ascii="Arial" w:hAnsi="Arial" w:cs="Arial"/>
          <w:color w:val="000000"/>
          <w:sz w:val="22"/>
          <w:szCs w:val="22"/>
          <w:lang w:val="es-UY"/>
        </w:rPr>
        <w:t xml:space="preserve">. </w:t>
      </w:r>
      <w:r w:rsidRPr="00F852D5">
        <w:rPr>
          <w:rFonts w:ascii="Arial" w:hAnsi="Arial" w:cs="Arial"/>
          <w:color w:val="000000"/>
          <w:sz w:val="22"/>
          <w:szCs w:val="22"/>
          <w:lang w:val="es-UY"/>
        </w:rPr>
        <w:t>Aunque la tasa de mujeres investigadoras en América Latina y el Caribe (ALC) es notablemente mejor (45,8%) que la media mundial (30%), las investigadoras de la región de ALC siguen estando infrarrepresentadas en los campos de la ciencia, la tecnología, la ingeniería y las matemáticas (STEM), con un 36%</w:t>
      </w:r>
      <w:r w:rsidR="00D25F93">
        <w:rPr>
          <w:rStyle w:val="Refdenotaalpie"/>
          <w:rFonts w:ascii="Arial" w:hAnsi="Arial" w:cs="Arial"/>
          <w:color w:val="000000"/>
          <w:sz w:val="22"/>
          <w:szCs w:val="22"/>
          <w:lang w:val="es-UY"/>
        </w:rPr>
        <w:footnoteReference w:id="5"/>
      </w:r>
      <w:r w:rsidRPr="00F852D5">
        <w:rPr>
          <w:rFonts w:ascii="Arial" w:hAnsi="Arial" w:cs="Arial"/>
          <w:color w:val="000000"/>
          <w:sz w:val="22"/>
          <w:szCs w:val="22"/>
          <w:lang w:val="es-UY"/>
        </w:rPr>
        <w:t xml:space="preserve">. </w:t>
      </w:r>
    </w:p>
    <w:p w14:paraId="5D082B47" w14:textId="77777777" w:rsidR="00D47CE9" w:rsidRPr="00F852D5" w:rsidRDefault="00D47CE9" w:rsidP="00D47CE9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</w:p>
    <w:p w14:paraId="1D712AB9" w14:textId="37AC326C" w:rsidR="00D47CE9" w:rsidRPr="00F852D5" w:rsidRDefault="00D47CE9" w:rsidP="00D47CE9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  <w:r w:rsidRPr="00F852D5">
        <w:rPr>
          <w:rFonts w:ascii="Arial" w:hAnsi="Arial" w:cs="Arial"/>
          <w:color w:val="000000"/>
          <w:sz w:val="22"/>
          <w:szCs w:val="22"/>
          <w:lang w:val="es-UY"/>
        </w:rPr>
        <w:t>Las mujeres en STEM tienen menos probabilidades de progresar a puestos de liderazgo en su campo, aumentando la brecha de género entre los científicos de alto nivel y los investigadores principales (PI). Las mujeres en STEM publican menos y están peor pagadas. Las razones incluyen la discriminación, las decisiones familiares, las presiones del hogar, las culturas del lugar de trabajo y las consideraciones financieras, así como la falta de intervenciones eficaces</w:t>
      </w:r>
      <w:r w:rsidR="00B921F8">
        <w:rPr>
          <w:rStyle w:val="Refdenotaalpie"/>
          <w:rFonts w:ascii="Arial" w:hAnsi="Arial" w:cs="Arial"/>
          <w:color w:val="000000"/>
          <w:sz w:val="22"/>
          <w:szCs w:val="22"/>
          <w:lang w:val="es-UY"/>
        </w:rPr>
        <w:footnoteReference w:id="6"/>
      </w:r>
      <w:r w:rsidRPr="00F852D5">
        <w:rPr>
          <w:rFonts w:ascii="Arial" w:hAnsi="Arial" w:cs="Arial"/>
          <w:color w:val="000000"/>
          <w:sz w:val="22"/>
          <w:szCs w:val="22"/>
          <w:lang w:val="es-UY"/>
        </w:rPr>
        <w:t xml:space="preserve">. </w:t>
      </w:r>
    </w:p>
    <w:p w14:paraId="1980AC36" w14:textId="77777777" w:rsidR="00D47CE9" w:rsidRPr="00F852D5" w:rsidRDefault="00D47CE9" w:rsidP="00D47CE9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</w:p>
    <w:p w14:paraId="1645E481" w14:textId="5DB80E09" w:rsidR="00D47CE9" w:rsidRDefault="00D47CE9" w:rsidP="00D47CE9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  <w:r w:rsidRPr="00F852D5">
        <w:rPr>
          <w:rFonts w:ascii="Arial" w:hAnsi="Arial" w:cs="Arial"/>
          <w:color w:val="000000"/>
          <w:sz w:val="22"/>
          <w:szCs w:val="22"/>
          <w:lang w:val="es-UY"/>
        </w:rPr>
        <w:t>América Latina y el Caribe es la región económicamente más desigual del mundo. Sus desigualdades tienen sus raíces en la historia colonial y están marcadas por construcciones sociales de prejuicio contra las minorías raciales/étnicas, incluidos los pueblos indígenas y las personas de ascendencia africana. Además, las desigualdades se entrecruzan y tienden a profundizarse para los individuos de más de un grupo subrepresentado, por ejemplo, las mujeres negras o las mujeres con discapacidad.</w:t>
      </w:r>
    </w:p>
    <w:p w14:paraId="75D576D7" w14:textId="77777777" w:rsidR="00B554C8" w:rsidRPr="00B554C8" w:rsidRDefault="00B554C8" w:rsidP="00B554C8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</w:p>
    <w:p w14:paraId="2D4D55D0" w14:textId="28B5EA75" w:rsidR="00B554C8" w:rsidRPr="00B554C8" w:rsidRDefault="00B554C8" w:rsidP="00B554C8">
      <w:pPr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  <w:r w:rsidRPr="00B554C8">
        <w:rPr>
          <w:rFonts w:ascii="Arial" w:hAnsi="Arial" w:cs="Arial"/>
          <w:color w:val="000000"/>
          <w:sz w:val="22"/>
          <w:szCs w:val="22"/>
          <w:lang w:val="es-UY"/>
        </w:rPr>
        <w:lastRenderedPageBreak/>
        <w:t xml:space="preserve">Una revisión bibliográfica sobre los grupos infrarrepresentados en STEM realizada en Canadá sugiere varios retos relacionados con la </w:t>
      </w:r>
      <w:r w:rsidR="00B76F73">
        <w:rPr>
          <w:rFonts w:ascii="Arial" w:hAnsi="Arial" w:cs="Arial"/>
          <w:color w:val="000000"/>
          <w:sz w:val="22"/>
          <w:szCs w:val="22"/>
          <w:lang w:val="es-UY"/>
        </w:rPr>
        <w:t>EDI</w:t>
      </w:r>
      <w:r w:rsidRPr="00B554C8">
        <w:rPr>
          <w:rFonts w:ascii="Arial" w:hAnsi="Arial" w:cs="Arial"/>
          <w:color w:val="000000"/>
          <w:sz w:val="22"/>
          <w:szCs w:val="22"/>
          <w:lang w:val="es-UY"/>
        </w:rPr>
        <w:t xml:space="preserve"> y la ciencia a los que se enfrentan los grupos infrarrepresentados. </w:t>
      </w:r>
      <w:r w:rsidR="003E17CB" w:rsidRPr="003E17CB">
        <w:rPr>
          <w:rFonts w:ascii="Arial" w:hAnsi="Arial" w:cs="Arial"/>
          <w:color w:val="000000"/>
          <w:sz w:val="22"/>
          <w:szCs w:val="22"/>
          <w:lang w:val="es-UY"/>
        </w:rPr>
        <w:t>La Universidad de Victoria y el proyecto Supercluster de Tecnología Digital</w:t>
      </w:r>
      <w:r w:rsidR="0093468C">
        <w:rPr>
          <w:rStyle w:val="Refdenotaalpie"/>
          <w:rFonts w:ascii="Arial" w:hAnsi="Arial" w:cs="Arial"/>
          <w:color w:val="000000"/>
          <w:sz w:val="22"/>
          <w:szCs w:val="22"/>
          <w:lang w:val="es-UY"/>
        </w:rPr>
        <w:footnoteReference w:id="7"/>
      </w:r>
      <w:r w:rsidR="003E17CB" w:rsidRPr="003E17CB">
        <w:rPr>
          <w:rFonts w:ascii="Arial" w:hAnsi="Arial" w:cs="Arial"/>
          <w:color w:val="000000"/>
          <w:sz w:val="22"/>
          <w:szCs w:val="22"/>
          <w:lang w:val="es-UY"/>
        </w:rPr>
        <w:t xml:space="preserve"> de Canadá publicaron el informe Issues and challenges faced by underrepresented groups in engineering and computer science industries</w:t>
      </w:r>
      <w:r w:rsidRPr="00B554C8">
        <w:rPr>
          <w:rFonts w:ascii="Arial" w:hAnsi="Arial" w:cs="Arial"/>
          <w:color w:val="000000"/>
          <w:sz w:val="22"/>
          <w:szCs w:val="22"/>
          <w:lang w:val="es-UY"/>
        </w:rPr>
        <w:t xml:space="preserve">, </w:t>
      </w:r>
      <w:r w:rsidR="003E17CB">
        <w:rPr>
          <w:rFonts w:ascii="Arial" w:hAnsi="Arial" w:cs="Arial"/>
          <w:color w:val="000000"/>
          <w:sz w:val="22"/>
          <w:szCs w:val="22"/>
          <w:lang w:val="es-UY"/>
        </w:rPr>
        <w:t xml:space="preserve">que </w:t>
      </w:r>
      <w:r w:rsidRPr="00B554C8">
        <w:rPr>
          <w:rFonts w:ascii="Arial" w:hAnsi="Arial" w:cs="Arial"/>
          <w:color w:val="000000"/>
          <w:sz w:val="22"/>
          <w:szCs w:val="22"/>
          <w:lang w:val="es-UY"/>
        </w:rPr>
        <w:t>concluyó:</w:t>
      </w:r>
    </w:p>
    <w:p w14:paraId="1A661E2C" w14:textId="4B90CBBC" w:rsidR="00551DB4" w:rsidRPr="003E17CB" w:rsidRDefault="003E17CB" w:rsidP="00B554C8">
      <w:pPr>
        <w:spacing w:before="120"/>
        <w:ind w:left="709"/>
        <w:jc w:val="both"/>
        <w:rPr>
          <w:rFonts w:ascii="Arial" w:hAnsi="Arial" w:cs="Arial"/>
          <w:sz w:val="22"/>
          <w:szCs w:val="22"/>
          <w:lang w:val="es-UY"/>
        </w:rPr>
      </w:pPr>
      <w:r w:rsidRPr="003E17CB">
        <w:rPr>
          <w:rFonts w:ascii="Arial" w:hAnsi="Arial" w:cs="Arial"/>
          <w:i/>
          <w:iCs/>
          <w:sz w:val="22"/>
          <w:szCs w:val="22"/>
          <w:lang w:val="es-UY"/>
        </w:rPr>
        <w:t xml:space="preserve">Los miembros de los grupos infrarrepresentados a menudo informaron de que experimentaban un clima poco acogedor en los programas STEM, lo que anulaba una experiencia educativa positiva y </w:t>
      </w:r>
      <w:r>
        <w:rPr>
          <w:rFonts w:ascii="Arial" w:hAnsi="Arial" w:cs="Arial"/>
          <w:i/>
          <w:iCs/>
          <w:sz w:val="22"/>
          <w:szCs w:val="22"/>
          <w:lang w:val="es-UY"/>
        </w:rPr>
        <w:t xml:space="preserve">la fomentación </w:t>
      </w:r>
      <w:r w:rsidRPr="003E17CB">
        <w:rPr>
          <w:rFonts w:ascii="Arial" w:hAnsi="Arial" w:cs="Arial"/>
          <w:i/>
          <w:iCs/>
          <w:sz w:val="22"/>
          <w:szCs w:val="22"/>
          <w:lang w:val="es-UY"/>
        </w:rPr>
        <w:t>de un entorno de aprendizaje favorable. Los grupos no dominantes eran más propensos a tener un menor sentido de pertenencia en los campos STEM en comparación con sus homólogos blancos;</w:t>
      </w:r>
    </w:p>
    <w:p w14:paraId="5AA04F6E" w14:textId="1769A94E" w:rsidR="00551DB4" w:rsidRPr="003E17CB" w:rsidRDefault="003E17CB" w:rsidP="00551DB4">
      <w:pPr>
        <w:spacing w:before="120"/>
        <w:jc w:val="both"/>
        <w:rPr>
          <w:rFonts w:ascii="Arial" w:hAnsi="Arial" w:cs="Arial"/>
          <w:sz w:val="22"/>
          <w:szCs w:val="22"/>
          <w:lang w:val="es-UY"/>
        </w:rPr>
      </w:pPr>
      <w:r w:rsidRPr="003E17CB">
        <w:rPr>
          <w:rFonts w:ascii="Arial" w:hAnsi="Arial" w:cs="Arial"/>
          <w:sz w:val="22"/>
          <w:szCs w:val="22"/>
          <w:lang w:val="es-UY"/>
        </w:rPr>
        <w:t>y</w:t>
      </w:r>
    </w:p>
    <w:p w14:paraId="410CD2F8" w14:textId="2DF5A764" w:rsidR="005A52D9" w:rsidRDefault="003E17CB" w:rsidP="003E17CB">
      <w:pPr>
        <w:ind w:left="709"/>
        <w:jc w:val="both"/>
        <w:rPr>
          <w:rFonts w:ascii="Arial" w:hAnsi="Arial" w:cs="Arial"/>
          <w:i/>
          <w:iCs/>
          <w:sz w:val="22"/>
          <w:szCs w:val="22"/>
          <w:lang w:val="es-UY"/>
        </w:rPr>
      </w:pPr>
      <w:r w:rsidRPr="003E17CB">
        <w:rPr>
          <w:rFonts w:ascii="Arial" w:hAnsi="Arial" w:cs="Arial"/>
          <w:i/>
          <w:iCs/>
          <w:sz w:val="22"/>
          <w:szCs w:val="22"/>
          <w:lang w:val="es-UY"/>
        </w:rPr>
        <w:t>Las desigualdades en el lugar de trabajo de los LGBTQ2SAI+ fueron generalizadas en los organismos relacionados con STEM, se extienden a través de las cohortes de edad y la situación de supervisión, y existen tanto para las mujeres como para los hombres que se identifican como LGBTQ2SAI+.</w:t>
      </w:r>
    </w:p>
    <w:p w14:paraId="44236CC9" w14:textId="77777777" w:rsidR="003E17CB" w:rsidRPr="003E17CB" w:rsidRDefault="003E17CB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5950935E" w14:textId="1E50410F" w:rsidR="001D64EF" w:rsidRP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D64EF">
        <w:rPr>
          <w:rFonts w:ascii="Arial" w:hAnsi="Arial" w:cs="Arial"/>
          <w:sz w:val="22"/>
          <w:szCs w:val="22"/>
          <w:lang w:val="es-UY"/>
        </w:rPr>
        <w:t xml:space="preserve">El número de mujeres investigadoras en proyectos científicos apoyados por el IAI también apunta a una brecha de género y proporciona razones adicionales para adoptar una política de género. Por ejemplo, el número de mujeres que actúan como investigadoras principales en proyectos de las rondas 2 y 3 de las Redes de Investigación Colaborativa (CRN) y de los </w:t>
      </w:r>
      <w:r w:rsidR="008E1506">
        <w:rPr>
          <w:rFonts w:ascii="Arial" w:hAnsi="Arial" w:cs="Arial"/>
          <w:sz w:val="22"/>
          <w:szCs w:val="22"/>
          <w:lang w:val="es-UY"/>
        </w:rPr>
        <w:t>Programas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de Pequeñ</w:t>
      </w:r>
      <w:r>
        <w:rPr>
          <w:rFonts w:ascii="Arial" w:hAnsi="Arial" w:cs="Arial"/>
          <w:sz w:val="22"/>
          <w:szCs w:val="22"/>
          <w:lang w:val="es-UY"/>
        </w:rPr>
        <w:t>o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s </w:t>
      </w:r>
      <w:r w:rsidR="008E1506">
        <w:rPr>
          <w:rFonts w:ascii="Arial" w:hAnsi="Arial" w:cs="Arial"/>
          <w:sz w:val="22"/>
          <w:szCs w:val="22"/>
          <w:lang w:val="es-UY"/>
        </w:rPr>
        <w:t>Subsidios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(SGP-1, SGP-2, SGP-HD, SGP-CRA y SGP-HW), desde 2002 hasta 2021, ascendió a 22 de 75 o al 29%. Las mujeres investigadoras que actúan en todas las funciones, incluidas las investigadoras y las investigadoras principales en los proyectos científicos mencionados, ascendieron a 194 de 527 o el 36%. El IAI carece de datos sobre sus proyectos y grupos subrepresentados.</w:t>
      </w:r>
    </w:p>
    <w:p w14:paraId="033256EB" w14:textId="77777777" w:rsidR="001D64EF" w:rsidRP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D3D19B6" w14:textId="5E1412EB" w:rsid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D64EF">
        <w:rPr>
          <w:rFonts w:ascii="Arial" w:hAnsi="Arial" w:cs="Arial"/>
          <w:sz w:val="22"/>
          <w:szCs w:val="22"/>
          <w:lang w:val="es-UY"/>
        </w:rPr>
        <w:t xml:space="preserve">En cuanto a las actividades de desarrollo de capacidades del IAI, el Programa de </w:t>
      </w:r>
      <w:r w:rsidR="008E1506">
        <w:rPr>
          <w:rFonts w:ascii="Arial" w:hAnsi="Arial" w:cs="Arial"/>
          <w:sz w:val="22"/>
          <w:szCs w:val="22"/>
          <w:lang w:val="es-UY"/>
        </w:rPr>
        <w:t>Fellowship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de Ciencia, Tecnología y Política</w:t>
      </w:r>
      <w:r w:rsidR="008E1506">
        <w:rPr>
          <w:rFonts w:ascii="Arial" w:hAnsi="Arial" w:cs="Arial"/>
          <w:sz w:val="22"/>
          <w:szCs w:val="22"/>
          <w:lang w:val="es-UY"/>
        </w:rPr>
        <w:t>s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(STeP) ha inscrito a 33 becarios mujeres y 13 hombres de 10 países de América del Norte, América Central, el Caribe y América del Sur. Estas cifras incluyen la participación de </w:t>
      </w:r>
      <w:r w:rsidR="008E1506">
        <w:rPr>
          <w:rFonts w:ascii="Arial" w:hAnsi="Arial" w:cs="Arial"/>
          <w:sz w:val="22"/>
          <w:szCs w:val="22"/>
          <w:lang w:val="es-UY"/>
        </w:rPr>
        <w:t>fellows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de política científica asociados a la Asociación Americana para el Avance de la Ciencia (AAAS) y a Mitacs Canadá. Esta participación equitativa indica el impacto positivo de la consideración de cuestiones relacionadas con el género. </w:t>
      </w:r>
    </w:p>
    <w:p w14:paraId="1294F6C2" w14:textId="77777777" w:rsidR="001D64EF" w:rsidRP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6C1038A1" w14:textId="31D3A833" w:rsidR="001D64EF" w:rsidRP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D64EF">
        <w:rPr>
          <w:rFonts w:ascii="Arial" w:hAnsi="Arial" w:cs="Arial"/>
          <w:sz w:val="22"/>
          <w:szCs w:val="22"/>
          <w:lang w:val="es-UY"/>
        </w:rPr>
        <w:t xml:space="preserve">Las mujeres constituyeron la mayoría de los participantes en los eventos de capacitación del IAI, tales como institutos de capacitación, talleres, seminarios y foros organizados por la Dirección </w:t>
      </w:r>
      <w:r w:rsidR="0093468C">
        <w:rPr>
          <w:rFonts w:ascii="Arial" w:hAnsi="Arial" w:cs="Arial"/>
          <w:sz w:val="22"/>
          <w:szCs w:val="22"/>
          <w:lang w:val="es-UY"/>
        </w:rPr>
        <w:t xml:space="preserve">Ejecuta 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del IAI en los últimos años. Entre 2012 y 2019, de un total de 906 participantes, 467 </w:t>
      </w:r>
      <w:r w:rsidR="0093468C">
        <w:rPr>
          <w:rFonts w:ascii="Arial" w:hAnsi="Arial" w:cs="Arial"/>
          <w:sz w:val="22"/>
          <w:szCs w:val="22"/>
          <w:lang w:val="es-UY"/>
        </w:rPr>
        <w:t>fueron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mujeres profesionales, es decir, el 51,5%, en 24 eventos de formación. El aumento de la participación femenina se debe a los criterios de la Dirección</w:t>
      </w:r>
      <w:r w:rsidR="00D4265B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para la selección de los participantes, que tuvieron en cuenta el equilibrio de género, lo que resultó en un aumento del número de solicitantes femeninas.</w:t>
      </w:r>
    </w:p>
    <w:p w14:paraId="45595D57" w14:textId="77777777" w:rsidR="001D64EF" w:rsidRP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959F689" w14:textId="12E70B8A" w:rsidR="001D64EF" w:rsidRDefault="001D64EF" w:rsidP="001D64E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D64EF">
        <w:rPr>
          <w:rFonts w:ascii="Arial" w:hAnsi="Arial" w:cs="Arial"/>
          <w:sz w:val="22"/>
          <w:szCs w:val="22"/>
          <w:lang w:val="es-UY"/>
        </w:rPr>
        <w:t xml:space="preserve">Los datos de la segunda y tercera iteraciones del Programa de </w:t>
      </w:r>
      <w:r w:rsidR="00D4265B">
        <w:rPr>
          <w:rFonts w:ascii="Arial" w:hAnsi="Arial" w:cs="Arial"/>
          <w:sz w:val="22"/>
          <w:szCs w:val="22"/>
          <w:lang w:val="es-UY"/>
        </w:rPr>
        <w:t>Subsidios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Semilla también apuntan a un progreso en el equilibrio de género. Por ejemplo, en la segunda iteración del Programa, en el período 2011-2016, se ejecutaron 11 proyectos con 4 mujeres como investigadoras principales (</w:t>
      </w:r>
      <w:r w:rsidR="004C6113">
        <w:rPr>
          <w:rFonts w:ascii="Arial" w:hAnsi="Arial" w:cs="Arial"/>
          <w:sz w:val="22"/>
          <w:szCs w:val="22"/>
          <w:lang w:val="es-UY"/>
        </w:rPr>
        <w:t>PI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) en comparación con 7 </w:t>
      </w:r>
      <w:r w:rsidR="004C6113">
        <w:rPr>
          <w:rFonts w:ascii="Arial" w:hAnsi="Arial" w:cs="Arial"/>
          <w:sz w:val="22"/>
          <w:szCs w:val="22"/>
          <w:lang w:val="es-UY"/>
        </w:rPr>
        <w:t>PI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masculinos. Además, las mujeres contaron con 26 co-investigadores en comparación con 29 co-investigadores masculinos. El equilibrio de género mejoró aún más en la tercera iteración del Programa, en 2016-2017, en la que 10 proyectos contaban con 5 mujeres como </w:t>
      </w:r>
      <w:r w:rsidR="004C6113">
        <w:rPr>
          <w:rFonts w:ascii="Arial" w:hAnsi="Arial" w:cs="Arial"/>
          <w:sz w:val="22"/>
          <w:szCs w:val="22"/>
          <w:lang w:val="es-UY"/>
        </w:rPr>
        <w:t>PI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frente a 5 hombres y 24 mujeres como co</w:t>
      </w:r>
      <w:r w:rsidR="00D4265B">
        <w:rPr>
          <w:rFonts w:ascii="Arial" w:hAnsi="Arial" w:cs="Arial"/>
          <w:sz w:val="22"/>
          <w:szCs w:val="22"/>
          <w:lang w:val="es-UY"/>
        </w:rPr>
        <w:t>-</w:t>
      </w:r>
      <w:r w:rsidR="004C6113">
        <w:rPr>
          <w:rFonts w:ascii="Arial" w:hAnsi="Arial" w:cs="Arial"/>
          <w:sz w:val="22"/>
          <w:szCs w:val="22"/>
          <w:lang w:val="es-UY"/>
        </w:rPr>
        <w:t>PI</w:t>
      </w:r>
      <w:r w:rsidRPr="001D64EF">
        <w:rPr>
          <w:rFonts w:ascii="Arial" w:hAnsi="Arial" w:cs="Arial"/>
          <w:sz w:val="22"/>
          <w:szCs w:val="22"/>
          <w:lang w:val="es-UY"/>
        </w:rPr>
        <w:t xml:space="preserve"> frente a 13 hombres.</w:t>
      </w:r>
    </w:p>
    <w:p w14:paraId="0EBC83CD" w14:textId="18D7B4E9" w:rsidR="005A52D9" w:rsidRPr="00D4265B" w:rsidRDefault="001D64EF" w:rsidP="005A52D9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D64EF">
        <w:rPr>
          <w:rFonts w:ascii="Arial" w:hAnsi="Arial" w:cs="Arial"/>
          <w:sz w:val="22"/>
          <w:szCs w:val="22"/>
          <w:lang w:val="es-UY"/>
        </w:rPr>
        <w:t xml:space="preserve"> </w:t>
      </w:r>
    </w:p>
    <w:p w14:paraId="49B7EBB9" w14:textId="05EA88DC" w:rsidR="00A9202F" w:rsidRPr="00A9202F" w:rsidRDefault="00A9202F" w:rsidP="00A9202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A9202F">
        <w:rPr>
          <w:rFonts w:ascii="Arial" w:hAnsi="Arial" w:cs="Arial"/>
          <w:sz w:val="22"/>
          <w:szCs w:val="22"/>
          <w:lang w:val="es-UY"/>
        </w:rPr>
        <w:t>Otras actividades de desarrollo de capacidades del IAI, como los programas de pasantías de investigación y de pasantías en 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A9202F">
        <w:rPr>
          <w:rFonts w:ascii="Arial" w:hAnsi="Arial" w:cs="Arial"/>
          <w:sz w:val="22"/>
          <w:szCs w:val="22"/>
          <w:lang w:val="es-UY"/>
        </w:rPr>
        <w:t>, han tenido hasta la fecha una participación predominantemente femenina: 86% de investigadoras en el primer programa, y 67% de pasantes mujeres en el segundo.</w:t>
      </w:r>
    </w:p>
    <w:p w14:paraId="2FDAEE3A" w14:textId="77777777" w:rsidR="00A9202F" w:rsidRPr="00A9202F" w:rsidRDefault="00A9202F" w:rsidP="00A9202F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CF1EEA0" w14:textId="77777777" w:rsidR="00A9202F" w:rsidRPr="00A9202F" w:rsidRDefault="00A9202F" w:rsidP="004C6113">
      <w:pPr>
        <w:jc w:val="right"/>
        <w:rPr>
          <w:rFonts w:ascii="Arial" w:hAnsi="Arial" w:cs="Arial"/>
          <w:sz w:val="22"/>
          <w:szCs w:val="22"/>
          <w:lang w:val="es-UY"/>
        </w:rPr>
      </w:pPr>
    </w:p>
    <w:p w14:paraId="685C5BDF" w14:textId="06B84067" w:rsidR="00A9202F" w:rsidRPr="00A9202F" w:rsidRDefault="00A9202F" w:rsidP="00A9202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A9202F">
        <w:rPr>
          <w:rFonts w:ascii="Arial" w:hAnsi="Arial" w:cs="Arial"/>
          <w:sz w:val="22"/>
          <w:szCs w:val="22"/>
          <w:lang w:val="es-UY"/>
        </w:rPr>
        <w:lastRenderedPageBreak/>
        <w:t xml:space="preserve">Esta política tiene en cuenta y está alineada con el </w:t>
      </w:r>
      <w:r w:rsidR="00E14707" w:rsidRPr="00E14707">
        <w:rPr>
          <w:rFonts w:ascii="Arial" w:hAnsi="Arial" w:cs="Arial"/>
          <w:i/>
          <w:iCs/>
          <w:sz w:val="22"/>
          <w:szCs w:val="22"/>
          <w:lang w:val="es-UY"/>
        </w:rPr>
        <w:t>Acuerdo para la creación</w:t>
      </w:r>
      <w:r w:rsidRPr="00E14707">
        <w:rPr>
          <w:rFonts w:ascii="Arial" w:hAnsi="Arial" w:cs="Arial"/>
          <w:i/>
          <w:iCs/>
          <w:sz w:val="22"/>
          <w:szCs w:val="22"/>
          <w:lang w:val="es-UY"/>
        </w:rPr>
        <w:t xml:space="preserve"> del Instituto Interamericano para la Investigación del Cambio Global</w:t>
      </w:r>
      <w:r w:rsidRPr="00A9202F">
        <w:rPr>
          <w:rFonts w:ascii="Arial" w:hAnsi="Arial" w:cs="Arial"/>
          <w:sz w:val="22"/>
          <w:szCs w:val="22"/>
          <w:lang w:val="es-UY"/>
        </w:rPr>
        <w:t xml:space="preserve">, la agenda científica del IAI y el plan estratégico del IAI. Con respecto al plan estratégico del IAI, se destacó el Tema I, Meta 1, Objetivo ii, Acción b, que establece: </w:t>
      </w:r>
      <w:r w:rsidR="00E14707" w:rsidRPr="00E14707">
        <w:rPr>
          <w:rFonts w:ascii="Arial" w:hAnsi="Arial" w:cs="Arial"/>
          <w:i/>
          <w:iCs/>
          <w:sz w:val="22"/>
          <w:szCs w:val="22"/>
          <w:lang w:val="es-UY"/>
        </w:rPr>
        <w:t>Para cada convocatoria de propuestas, la Dirección Ejecutiva se asegurará de que el comité de revisión por pares sea representativo en términos de disciplinas, regiones y equilibrio de género, y que incluya grupos subrepresentados en la ciencia.</w:t>
      </w:r>
      <w:r w:rsidRPr="00D51458">
        <w:rPr>
          <w:rFonts w:ascii="Arial" w:hAnsi="Arial" w:cs="Arial"/>
          <w:i/>
          <w:iCs/>
          <w:sz w:val="22"/>
          <w:szCs w:val="22"/>
          <w:lang w:val="es-UY"/>
        </w:rPr>
        <w:t xml:space="preserve">; </w:t>
      </w:r>
      <w:r w:rsidRPr="00A9202F">
        <w:rPr>
          <w:rFonts w:ascii="Arial" w:hAnsi="Arial" w:cs="Arial"/>
          <w:sz w:val="22"/>
          <w:szCs w:val="22"/>
          <w:lang w:val="es-UY"/>
        </w:rPr>
        <w:t xml:space="preserve">y el Tema II, Meta 1, Objetivo ii que establece: </w:t>
      </w:r>
      <w:r w:rsidR="00E14707" w:rsidRPr="00E14707">
        <w:rPr>
          <w:rFonts w:ascii="Arial" w:hAnsi="Arial" w:cs="Arial"/>
          <w:i/>
          <w:iCs/>
          <w:sz w:val="22"/>
          <w:szCs w:val="22"/>
          <w:lang w:val="es-UY"/>
        </w:rPr>
        <w:t>Apoyar la investigación que mejore la justicia socioambiental, la igualdad de género y el compromiso de los grupos insuficientemente representados desde el inicio del proceso de investigación.</w:t>
      </w:r>
      <w:r w:rsidRPr="00E14707">
        <w:rPr>
          <w:rFonts w:ascii="Arial" w:hAnsi="Arial" w:cs="Arial"/>
          <w:i/>
          <w:iCs/>
          <w:sz w:val="22"/>
          <w:szCs w:val="22"/>
          <w:lang w:val="es-UY"/>
        </w:rPr>
        <w:t>.</w:t>
      </w:r>
    </w:p>
    <w:p w14:paraId="3A3D5BA5" w14:textId="77777777" w:rsidR="00A9202F" w:rsidRPr="00A9202F" w:rsidRDefault="00A9202F" w:rsidP="00A9202F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A7B9BAD" w14:textId="66BE56EE" w:rsidR="00A9202F" w:rsidRPr="00A9202F" w:rsidRDefault="00A9202F" w:rsidP="00A9202F">
      <w:pPr>
        <w:jc w:val="both"/>
        <w:rPr>
          <w:rFonts w:ascii="Arial" w:hAnsi="Arial" w:cs="Arial"/>
          <w:sz w:val="22"/>
          <w:szCs w:val="22"/>
          <w:lang w:val="es-UY"/>
        </w:rPr>
      </w:pPr>
      <w:r w:rsidRPr="00A9202F">
        <w:rPr>
          <w:rFonts w:ascii="Arial" w:hAnsi="Arial" w:cs="Arial"/>
          <w:sz w:val="22"/>
          <w:szCs w:val="22"/>
          <w:lang w:val="es-UY"/>
        </w:rPr>
        <w:t>Además, los Objetivos de Desarrollo Sostenible de las Naciones Unidas, en particular el Objetivo 5, Igualdad de género, Meta 5.C</w:t>
      </w:r>
      <w:r w:rsidRPr="00E14707">
        <w:rPr>
          <w:rFonts w:ascii="Arial" w:hAnsi="Arial" w:cs="Arial"/>
          <w:i/>
          <w:iCs/>
          <w:sz w:val="22"/>
          <w:szCs w:val="22"/>
          <w:lang w:val="es-UY"/>
        </w:rPr>
        <w:t>., Adoptar y fortalecer políticas sólidas y legislación aplicable para la promoción de la igualdad de género y el empoderamiento de todas las mujeres y las niñas en todos los niveles</w:t>
      </w:r>
      <w:r w:rsidRPr="00A9202F">
        <w:rPr>
          <w:rFonts w:ascii="Arial" w:hAnsi="Arial" w:cs="Arial"/>
          <w:sz w:val="22"/>
          <w:szCs w:val="22"/>
          <w:lang w:val="es-UY"/>
        </w:rPr>
        <w:t xml:space="preserve">, proporciona un marco para anclar la política junto con los acuerdos globales que incluyen elementos relacionados con el género y que son promovidos por las Partes del IAI y a los que se adhieren. Entre los acuerdos internacionales, esta política reconoce, en particular, la </w:t>
      </w:r>
      <w:r w:rsidRPr="003B7AF3">
        <w:rPr>
          <w:rFonts w:ascii="Arial" w:hAnsi="Arial" w:cs="Arial"/>
          <w:i/>
          <w:iCs/>
          <w:sz w:val="22"/>
          <w:szCs w:val="22"/>
          <w:lang w:val="es-UY"/>
        </w:rPr>
        <w:t>Convención sobre la eliminación de todas las formas de discriminación contra la mujer</w:t>
      </w:r>
      <w:r w:rsidRPr="00A9202F">
        <w:rPr>
          <w:rFonts w:ascii="Arial" w:hAnsi="Arial" w:cs="Arial"/>
          <w:sz w:val="22"/>
          <w:szCs w:val="22"/>
          <w:lang w:val="es-UY"/>
        </w:rPr>
        <w:t xml:space="preserve"> y el trabajo actual en el marco del Convenio sobre la Diversidad Biológica sobre el borrador de un plan de acción de género para el período posterior a 2020</w:t>
      </w:r>
      <w:r w:rsidR="007C7A33">
        <w:rPr>
          <w:rFonts w:ascii="Arial" w:hAnsi="Arial" w:cs="Arial"/>
          <w:sz w:val="22"/>
          <w:szCs w:val="22"/>
          <w:lang w:val="es-UY"/>
        </w:rPr>
        <w:t>.</w:t>
      </w:r>
    </w:p>
    <w:p w14:paraId="045B65B4" w14:textId="0D4F9534" w:rsidR="005A52D9" w:rsidRPr="007C7A33" w:rsidRDefault="005A52D9" w:rsidP="005A52D9">
      <w:pPr>
        <w:jc w:val="both"/>
        <w:rPr>
          <w:rFonts w:ascii="Arial" w:hAnsi="Arial" w:cs="Arial"/>
          <w:i/>
          <w:iCs/>
          <w:sz w:val="22"/>
          <w:szCs w:val="22"/>
          <w:lang w:val="es-UY"/>
        </w:rPr>
      </w:pPr>
    </w:p>
    <w:p w14:paraId="77BC9916" w14:textId="77777777" w:rsidR="00D303A4" w:rsidRPr="007C7A33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1949E252" w14:textId="1C29079D" w:rsidR="00D303A4" w:rsidRPr="003B7AF3" w:rsidRDefault="003B7AF3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3B7AF3">
        <w:rPr>
          <w:rFonts w:ascii="Arial" w:hAnsi="Arial" w:cs="Arial"/>
          <w:b/>
          <w:bCs/>
          <w:sz w:val="22"/>
          <w:szCs w:val="22"/>
          <w:lang w:val="es-UY"/>
        </w:rPr>
        <w:t>Definiciones</w:t>
      </w:r>
    </w:p>
    <w:p w14:paraId="427C2B0C" w14:textId="77777777" w:rsidR="00D303A4" w:rsidRPr="003B7AF3" w:rsidRDefault="00D303A4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6A453C8D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3B7AF3">
        <w:rPr>
          <w:rFonts w:ascii="Arial" w:hAnsi="Arial" w:cs="Arial"/>
          <w:b/>
          <w:bCs/>
          <w:sz w:val="22"/>
          <w:szCs w:val="22"/>
          <w:lang w:val="es-UY"/>
        </w:rPr>
        <w:t>Antirracismo</w:t>
      </w:r>
    </w:p>
    <w:p w14:paraId="7D30E4BB" w14:textId="77777777" w:rsidR="003B7AF3" w:rsidRPr="003B7AF3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B7AF3">
        <w:rPr>
          <w:rFonts w:ascii="Arial" w:hAnsi="Arial" w:cs="Arial"/>
          <w:sz w:val="22"/>
          <w:szCs w:val="22"/>
          <w:lang w:val="es-UY"/>
        </w:rPr>
        <w:t>El antirracismo es una acción o estrategia proactiva contra el racismo. Reconoce el racismo sistémico y reconoce los privilegios y las barreras sistémicas o estructurales basadas en la raza.</w:t>
      </w:r>
    </w:p>
    <w:p w14:paraId="57C3CF45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0DF3754B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3B7AF3">
        <w:rPr>
          <w:rFonts w:ascii="Arial" w:hAnsi="Arial" w:cs="Arial"/>
          <w:b/>
          <w:bCs/>
          <w:sz w:val="22"/>
          <w:szCs w:val="22"/>
          <w:lang w:val="es-UY"/>
        </w:rPr>
        <w:t>Equidad, Diversidad e Inclusión (EDI)</w:t>
      </w:r>
    </w:p>
    <w:p w14:paraId="4FE76EF3" w14:textId="626CA4F4" w:rsidR="003B7AF3" w:rsidRPr="003B7AF3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B7AF3">
        <w:rPr>
          <w:rFonts w:ascii="Arial" w:hAnsi="Arial" w:cs="Arial"/>
          <w:sz w:val="22"/>
          <w:szCs w:val="22"/>
          <w:lang w:val="es-UY"/>
        </w:rPr>
        <w:t xml:space="preserve">Garantizar y proteger la equidad, la diversidad y la inclusión (EDI) implica dar un trato justo y oportunidades a todas las personas. El objetivo es erradicar los prejuicios y la discriminación basados en características personales como la edad, la discapacidad, el género y el cambio de género, el matrimonio y la unión civil, el embarazo y la maternidad, la raza/etnia, la religión o las creencias y la orientación sexual, entre otros. La consecución de la </w:t>
      </w:r>
      <w:r>
        <w:rPr>
          <w:rFonts w:ascii="Arial" w:hAnsi="Arial" w:cs="Arial"/>
          <w:sz w:val="22"/>
          <w:szCs w:val="22"/>
          <w:lang w:val="es-UY"/>
        </w:rPr>
        <w:t>EDI</w:t>
      </w:r>
      <w:r w:rsidRPr="003B7AF3">
        <w:rPr>
          <w:rFonts w:ascii="Arial" w:hAnsi="Arial" w:cs="Arial"/>
          <w:sz w:val="22"/>
          <w:szCs w:val="22"/>
          <w:lang w:val="es-UY"/>
        </w:rPr>
        <w:t xml:space="preserve"> requiere abrazar y valorar la diversidad, tratando de crear un entorno en el que todas las personas sean tratadas con respeto. En esta política, EDI también se refiere o incluye el género. </w:t>
      </w:r>
    </w:p>
    <w:p w14:paraId="7C983CA9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775C1E2C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3B7AF3">
        <w:rPr>
          <w:rFonts w:ascii="Arial" w:hAnsi="Arial" w:cs="Arial"/>
          <w:b/>
          <w:bCs/>
          <w:sz w:val="22"/>
          <w:szCs w:val="22"/>
          <w:lang w:val="es-UY"/>
        </w:rPr>
        <w:t>Género</w:t>
      </w:r>
    </w:p>
    <w:p w14:paraId="23FE64B7" w14:textId="77777777" w:rsidR="003B7AF3" w:rsidRPr="003B7AF3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B7AF3">
        <w:rPr>
          <w:rFonts w:ascii="Arial" w:hAnsi="Arial" w:cs="Arial"/>
          <w:sz w:val="22"/>
          <w:szCs w:val="22"/>
          <w:lang w:val="es-UY"/>
        </w:rPr>
        <w:t xml:space="preserve">El género se refiere a los roles, características y comportamientos que una sociedad determinada asocia con nuestras identidades como mujeres, niñas, hombres, niños o personas no binarias. El género se construye social y culturalmente y cambia con el tiempo. El género influye en las expectativas de un individuo, en su forma de relacionarse con los demás y en las normas que se espera que cumpla. </w:t>
      </w:r>
    </w:p>
    <w:p w14:paraId="716A7527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1C1D4D9C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3B7AF3">
        <w:rPr>
          <w:rFonts w:ascii="Arial" w:hAnsi="Arial" w:cs="Arial"/>
          <w:b/>
          <w:bCs/>
          <w:sz w:val="22"/>
          <w:szCs w:val="22"/>
          <w:lang w:val="es-UY"/>
        </w:rPr>
        <w:t>Interseccionalidad</w:t>
      </w:r>
    </w:p>
    <w:p w14:paraId="2B3717A4" w14:textId="18A69495" w:rsidR="003B7AF3" w:rsidRPr="003B7AF3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B7AF3">
        <w:rPr>
          <w:rFonts w:ascii="Arial" w:hAnsi="Arial" w:cs="Arial"/>
          <w:sz w:val="22"/>
          <w:szCs w:val="22"/>
          <w:lang w:val="es-UY"/>
        </w:rPr>
        <w:t>La interseccionalidad</w:t>
      </w:r>
      <w:r>
        <w:rPr>
          <w:rStyle w:val="Refdenotaalpie"/>
          <w:rFonts w:ascii="Arial" w:hAnsi="Arial" w:cs="Arial"/>
          <w:sz w:val="22"/>
          <w:szCs w:val="22"/>
          <w:lang w:val="es-UY"/>
        </w:rPr>
        <w:footnoteReference w:id="8"/>
      </w:r>
      <w:r w:rsidRPr="003B7AF3">
        <w:rPr>
          <w:rFonts w:ascii="Arial" w:hAnsi="Arial" w:cs="Arial"/>
          <w:sz w:val="22"/>
          <w:szCs w:val="22"/>
          <w:lang w:val="es-UY"/>
        </w:rPr>
        <w:t xml:space="preserve"> se refiere a la marginación y la desventaja estructurales en la intersección del género con otras identidades y estratificadores sociales como la edad, el estatus socioeconómico, la raza, la etnia, la nacionalidad, la religión, la discapacidad y la capacidad, apoyadas o exacerbadas por el legado colonial de las relaciones de poder</w:t>
      </w:r>
      <w:r w:rsidR="007C7A33">
        <w:rPr>
          <w:rStyle w:val="Refdenotaalpie"/>
          <w:rFonts w:ascii="Arial" w:hAnsi="Arial" w:cs="Arial"/>
          <w:sz w:val="22"/>
          <w:szCs w:val="22"/>
          <w:lang w:val="es-UY"/>
        </w:rPr>
        <w:footnoteReference w:id="9"/>
      </w:r>
      <w:r w:rsidRPr="003B7AF3">
        <w:rPr>
          <w:rFonts w:ascii="Arial" w:hAnsi="Arial" w:cs="Arial"/>
          <w:sz w:val="22"/>
          <w:szCs w:val="22"/>
          <w:lang w:val="es-UY"/>
        </w:rPr>
        <w:t>.</w:t>
      </w:r>
    </w:p>
    <w:p w14:paraId="7B92AA5E" w14:textId="7777777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449ED667" w14:textId="5526DCB7" w:rsidR="003B7AF3" w:rsidRPr="003B7AF3" w:rsidRDefault="003B7AF3" w:rsidP="003B7AF3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3B7AF3">
        <w:rPr>
          <w:rFonts w:ascii="Arial" w:hAnsi="Arial" w:cs="Arial"/>
          <w:b/>
          <w:bCs/>
          <w:sz w:val="22"/>
          <w:szCs w:val="22"/>
          <w:lang w:val="es-UY"/>
        </w:rPr>
        <w:t xml:space="preserve">Integración de la </w:t>
      </w:r>
      <w:r w:rsidR="00912816">
        <w:rPr>
          <w:rFonts w:ascii="Arial" w:hAnsi="Arial" w:cs="Arial"/>
          <w:b/>
          <w:bCs/>
          <w:sz w:val="22"/>
          <w:szCs w:val="22"/>
          <w:lang w:val="es-UY"/>
        </w:rPr>
        <w:t>EDI</w:t>
      </w:r>
    </w:p>
    <w:p w14:paraId="6B36EAC1" w14:textId="7648FC40" w:rsidR="00142B91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  <w:r w:rsidRPr="003B7AF3">
        <w:rPr>
          <w:rFonts w:ascii="Arial" w:hAnsi="Arial" w:cs="Arial"/>
          <w:sz w:val="22"/>
          <w:szCs w:val="22"/>
          <w:lang w:val="es-UY"/>
        </w:rPr>
        <w:t xml:space="preserve">La integración de personas de grupos subrepresentados en las ciencias, incluidas las mujeres y las personas con diversidad de género, requiere una atención y un esfuerzo especiales, incluida la evaluación de las implicaciones para los participantes de cualquier actividad o proyecto previsto. La integración proporciona un mecanismo para destacar las preocupaciones y experiencias de todos como un elemento vital en el diseño, la implementación, el monitoreo y la evaluación de políticas y </w:t>
      </w:r>
      <w:r w:rsidRPr="003B7AF3">
        <w:rPr>
          <w:rFonts w:ascii="Arial" w:hAnsi="Arial" w:cs="Arial"/>
          <w:sz w:val="22"/>
          <w:szCs w:val="22"/>
          <w:lang w:val="es-UY"/>
        </w:rPr>
        <w:lastRenderedPageBreak/>
        <w:t>programas en todas las actividades científicas, de desarrollo de capacidades y de políticas científicas del IAI.</w:t>
      </w:r>
    </w:p>
    <w:p w14:paraId="690209F9" w14:textId="0E4596DD" w:rsidR="003B7AF3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5853324" w14:textId="77777777" w:rsidR="003B7AF3" w:rsidRPr="003B7AF3" w:rsidRDefault="003B7AF3" w:rsidP="003B7AF3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635A4CC" w14:textId="46B7F45E" w:rsidR="00D303A4" w:rsidRPr="00912816" w:rsidRDefault="00A176E4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912816">
        <w:rPr>
          <w:rFonts w:ascii="Arial" w:hAnsi="Arial" w:cs="Arial"/>
          <w:b/>
          <w:bCs/>
          <w:sz w:val="22"/>
          <w:szCs w:val="22"/>
          <w:lang w:val="es-UY"/>
        </w:rPr>
        <w:t>Objetiv</w:t>
      </w:r>
      <w:r w:rsidR="00912816" w:rsidRPr="00912816">
        <w:rPr>
          <w:rFonts w:ascii="Arial" w:hAnsi="Arial" w:cs="Arial"/>
          <w:b/>
          <w:bCs/>
          <w:sz w:val="22"/>
          <w:szCs w:val="22"/>
          <w:lang w:val="es-UY"/>
        </w:rPr>
        <w:t>o</w:t>
      </w:r>
      <w:r w:rsidRPr="00912816">
        <w:rPr>
          <w:rFonts w:ascii="Arial" w:hAnsi="Arial" w:cs="Arial"/>
          <w:b/>
          <w:bCs/>
          <w:sz w:val="22"/>
          <w:szCs w:val="22"/>
          <w:lang w:val="es-UY"/>
        </w:rPr>
        <w:t>s</w:t>
      </w:r>
      <w:r w:rsidR="001B06E3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 and activi</w:t>
      </w:r>
      <w:r w:rsidR="00912816" w:rsidRPr="00912816">
        <w:rPr>
          <w:rFonts w:ascii="Arial" w:hAnsi="Arial" w:cs="Arial"/>
          <w:b/>
          <w:bCs/>
          <w:sz w:val="22"/>
          <w:szCs w:val="22"/>
          <w:lang w:val="es-UY"/>
        </w:rPr>
        <w:t>dades</w:t>
      </w:r>
    </w:p>
    <w:p w14:paraId="52FFD5B0" w14:textId="77777777" w:rsidR="00D303A4" w:rsidRPr="00912816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BB5A7E4" w14:textId="3895769C" w:rsidR="00D303A4" w:rsidRPr="00912816" w:rsidRDefault="00912816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912816">
        <w:rPr>
          <w:rFonts w:ascii="Arial" w:hAnsi="Arial" w:cs="Arial"/>
          <w:b/>
          <w:bCs/>
          <w:sz w:val="22"/>
          <w:szCs w:val="22"/>
          <w:lang w:val="es-UY"/>
        </w:rPr>
        <w:t>Objetivo</w:t>
      </w:r>
      <w:r w:rsidR="00514B2D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 I</w:t>
      </w:r>
      <w:r>
        <w:rPr>
          <w:rFonts w:ascii="Arial" w:hAnsi="Arial" w:cs="Arial"/>
          <w:b/>
          <w:bCs/>
          <w:sz w:val="22"/>
          <w:szCs w:val="22"/>
          <w:lang w:val="es-UY"/>
        </w:rPr>
        <w:t>:</w:t>
      </w:r>
      <w:r w:rsidR="00514B2D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UY"/>
        </w:rPr>
        <w:t>Promover</w:t>
      </w:r>
      <w:r w:rsidR="00871653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 EDI</w:t>
      </w:r>
      <w:r w:rsidR="00514B2D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UY"/>
        </w:rPr>
        <w:t>en la ciencia</w:t>
      </w:r>
      <w:r w:rsidR="00340F6B" w:rsidRPr="00912816">
        <w:rPr>
          <w:rFonts w:ascii="Arial" w:hAnsi="Arial" w:cs="Arial"/>
          <w:b/>
          <w:bCs/>
          <w:sz w:val="22"/>
          <w:szCs w:val="22"/>
          <w:lang w:val="es-UY"/>
        </w:rPr>
        <w:t>.</w:t>
      </w:r>
    </w:p>
    <w:p w14:paraId="42F69F55" w14:textId="77777777" w:rsidR="00D303A4" w:rsidRPr="00912816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68162392" w14:textId="408B0E8A" w:rsidR="00912816" w:rsidRPr="00912816" w:rsidRDefault="00912816" w:rsidP="00912816">
      <w:pPr>
        <w:jc w:val="both"/>
        <w:rPr>
          <w:rFonts w:ascii="Arial" w:hAnsi="Arial" w:cs="Arial"/>
          <w:sz w:val="22"/>
          <w:szCs w:val="22"/>
          <w:lang w:val="es-UY"/>
        </w:rPr>
      </w:pPr>
      <w:r w:rsidRPr="00912816">
        <w:rPr>
          <w:rFonts w:ascii="Arial" w:hAnsi="Arial" w:cs="Arial"/>
          <w:sz w:val="22"/>
          <w:szCs w:val="22"/>
          <w:lang w:val="es-UY"/>
        </w:rPr>
        <w:t>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912816">
        <w:rPr>
          <w:rFonts w:ascii="Arial" w:hAnsi="Arial" w:cs="Arial"/>
          <w:sz w:val="22"/>
          <w:szCs w:val="22"/>
          <w:lang w:val="es-UY"/>
        </w:rPr>
        <w:t xml:space="preserve"> del IAI se esforzará por ejercer el liderazgo en la región para promover la integración de la </w:t>
      </w:r>
      <w:r>
        <w:rPr>
          <w:rFonts w:ascii="Arial" w:hAnsi="Arial" w:cs="Arial"/>
          <w:sz w:val="22"/>
          <w:szCs w:val="22"/>
          <w:lang w:val="es-UY"/>
        </w:rPr>
        <w:t>EDI</w:t>
      </w:r>
      <w:r w:rsidRPr="00912816">
        <w:rPr>
          <w:rFonts w:ascii="Arial" w:hAnsi="Arial" w:cs="Arial"/>
          <w:sz w:val="22"/>
          <w:szCs w:val="22"/>
          <w:lang w:val="es-UY"/>
        </w:rPr>
        <w:t xml:space="preserve"> en la investigación científica, el desarrollo de capacidades y las iniciativas de </w:t>
      </w:r>
      <w:r>
        <w:rPr>
          <w:rFonts w:ascii="Arial" w:hAnsi="Arial" w:cs="Arial"/>
          <w:sz w:val="22"/>
          <w:szCs w:val="22"/>
          <w:lang w:val="es-UY"/>
        </w:rPr>
        <w:t>ciencia política</w:t>
      </w:r>
      <w:r w:rsidRPr="00912816">
        <w:rPr>
          <w:rFonts w:ascii="Arial" w:hAnsi="Arial" w:cs="Arial"/>
          <w:sz w:val="22"/>
          <w:szCs w:val="22"/>
          <w:lang w:val="es-UY"/>
        </w:rPr>
        <w:t xml:space="preserve"> a nivel regional.</w:t>
      </w:r>
    </w:p>
    <w:p w14:paraId="345F8AAE" w14:textId="77777777" w:rsidR="00912816" w:rsidRPr="00912816" w:rsidRDefault="00912816" w:rsidP="00912816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50580B9A" w14:textId="481D6267" w:rsidR="00912816" w:rsidRPr="00912816" w:rsidRDefault="00912816" w:rsidP="00912816">
      <w:pPr>
        <w:jc w:val="both"/>
        <w:rPr>
          <w:rFonts w:ascii="Arial" w:hAnsi="Arial" w:cs="Arial"/>
          <w:sz w:val="22"/>
          <w:szCs w:val="22"/>
          <w:lang w:val="es-UY"/>
        </w:rPr>
      </w:pPr>
      <w:r w:rsidRPr="00912816">
        <w:rPr>
          <w:rFonts w:ascii="Arial" w:hAnsi="Arial" w:cs="Arial"/>
          <w:sz w:val="22"/>
          <w:szCs w:val="22"/>
          <w:lang w:val="es-UY"/>
        </w:rPr>
        <w:t xml:space="preserve">El IAI se asociará con organizaciones gubernamentales internacionales relevantes, organizaciones no gubernamentales, el sector privado e instituciones de investigación, entre otros, para promover la integración de la </w:t>
      </w:r>
      <w:r>
        <w:rPr>
          <w:rFonts w:ascii="Arial" w:hAnsi="Arial" w:cs="Arial"/>
          <w:sz w:val="22"/>
          <w:szCs w:val="22"/>
          <w:lang w:val="es-UY"/>
        </w:rPr>
        <w:t>EDI</w:t>
      </w:r>
      <w:r w:rsidRPr="00912816">
        <w:rPr>
          <w:rFonts w:ascii="Arial" w:hAnsi="Arial" w:cs="Arial"/>
          <w:sz w:val="22"/>
          <w:szCs w:val="22"/>
          <w:lang w:val="es-UY"/>
        </w:rPr>
        <w:t xml:space="preserve"> en la educación científica, la investigación posdoctoral y la investigación científica financiada con fondos públicos.</w:t>
      </w:r>
    </w:p>
    <w:p w14:paraId="5CC1FD58" w14:textId="77777777" w:rsidR="00912816" w:rsidRPr="00912816" w:rsidRDefault="00912816" w:rsidP="00912816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15802057" w14:textId="737D9181" w:rsidR="00912816" w:rsidRDefault="00912816" w:rsidP="00912816">
      <w:pPr>
        <w:jc w:val="both"/>
        <w:rPr>
          <w:rFonts w:ascii="Arial" w:hAnsi="Arial" w:cs="Arial"/>
          <w:sz w:val="22"/>
          <w:szCs w:val="22"/>
          <w:lang w:val="es-UY"/>
        </w:rPr>
      </w:pPr>
      <w:r w:rsidRPr="00912816">
        <w:rPr>
          <w:rFonts w:ascii="Arial" w:hAnsi="Arial" w:cs="Arial"/>
          <w:sz w:val="22"/>
          <w:szCs w:val="22"/>
          <w:lang w:val="es-UY"/>
        </w:rPr>
        <w:t xml:space="preserve">La Dirección </w:t>
      </w:r>
      <w:r>
        <w:rPr>
          <w:rFonts w:ascii="Arial" w:hAnsi="Arial" w:cs="Arial"/>
          <w:sz w:val="22"/>
          <w:szCs w:val="22"/>
          <w:lang w:val="es-UY"/>
        </w:rPr>
        <w:t xml:space="preserve">Ejecutiva </w:t>
      </w:r>
      <w:r w:rsidRPr="00912816">
        <w:rPr>
          <w:rFonts w:ascii="Arial" w:hAnsi="Arial" w:cs="Arial"/>
          <w:sz w:val="22"/>
          <w:szCs w:val="22"/>
          <w:lang w:val="es-UY"/>
        </w:rPr>
        <w:t>del IAI tratará de aumentar el liderazgo de personas de grupos subrepresentados en las actividades e investigaciones científicas financiadas por el IAI.</w:t>
      </w:r>
    </w:p>
    <w:p w14:paraId="7422A0B1" w14:textId="77777777" w:rsidR="0014071F" w:rsidRPr="00B76F73" w:rsidRDefault="0014071F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A501FDD" w14:textId="386C94CE" w:rsidR="00D303A4" w:rsidRPr="00912816" w:rsidRDefault="00912816" w:rsidP="003F6DED">
      <w:pPr>
        <w:rPr>
          <w:rFonts w:ascii="Arial" w:eastAsia="Times New Roman" w:hAnsi="Arial" w:cs="Arial"/>
          <w:b/>
          <w:bCs/>
          <w:kern w:val="0"/>
          <w:sz w:val="22"/>
          <w:szCs w:val="22"/>
          <w:lang w:val="es-UY" w:eastAsia="en-US" w:bidi="ar-SA"/>
        </w:rPr>
      </w:pPr>
      <w:r>
        <w:rPr>
          <w:rFonts w:ascii="Arial" w:hAnsi="Arial" w:cs="Arial"/>
          <w:b/>
          <w:bCs/>
          <w:sz w:val="22"/>
          <w:szCs w:val="22"/>
          <w:lang w:val="es-UY"/>
        </w:rPr>
        <w:t>Objetivo</w:t>
      </w:r>
      <w:r w:rsidR="00514B2D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 II: </w:t>
      </w:r>
      <w:r w:rsidRPr="00912816">
        <w:rPr>
          <w:rFonts w:ascii="Arial" w:eastAsia="Times New Roman" w:hAnsi="Arial" w:cs="Arial"/>
          <w:b/>
          <w:bCs/>
          <w:kern w:val="0"/>
          <w:sz w:val="22"/>
          <w:szCs w:val="22"/>
          <w:lang w:val="es-UY" w:eastAsia="en-US" w:bidi="ar-SA"/>
        </w:rPr>
        <w:t>Integracion de la</w:t>
      </w:r>
      <w:r w:rsidR="00706606" w:rsidRPr="00912816">
        <w:rPr>
          <w:rFonts w:ascii="Arial" w:eastAsia="Times New Roman" w:hAnsi="Arial" w:cs="Arial"/>
          <w:b/>
          <w:bCs/>
          <w:kern w:val="0"/>
          <w:sz w:val="22"/>
          <w:szCs w:val="22"/>
          <w:lang w:val="es-UY" w:eastAsia="en-US" w:bidi="ar-SA"/>
        </w:rPr>
        <w:t xml:space="preserve"> </w:t>
      </w:r>
      <w:r w:rsidR="00514B2D" w:rsidRPr="00912816">
        <w:rPr>
          <w:rFonts w:ascii="Arial" w:hAnsi="Arial" w:cs="Arial"/>
          <w:b/>
          <w:bCs/>
          <w:sz w:val="22"/>
          <w:szCs w:val="22"/>
          <w:lang w:val="es-UY"/>
        </w:rPr>
        <w:t xml:space="preserve">EDI </w:t>
      </w:r>
      <w:r>
        <w:rPr>
          <w:rFonts w:ascii="Arial" w:hAnsi="Arial" w:cs="Arial"/>
          <w:b/>
          <w:bCs/>
          <w:sz w:val="22"/>
          <w:szCs w:val="22"/>
          <w:lang w:val="es-UY"/>
        </w:rPr>
        <w:t xml:space="preserve">en las actividades del </w:t>
      </w:r>
      <w:r w:rsidR="00514B2D" w:rsidRPr="00912816">
        <w:rPr>
          <w:rFonts w:ascii="Arial" w:hAnsi="Arial" w:cs="Arial"/>
          <w:b/>
          <w:bCs/>
          <w:sz w:val="22"/>
          <w:szCs w:val="22"/>
          <w:lang w:val="es-UY"/>
        </w:rPr>
        <w:t>IAI</w:t>
      </w:r>
    </w:p>
    <w:p w14:paraId="2F28074C" w14:textId="1BAD4DDF" w:rsidR="007A5784" w:rsidRPr="00912816" w:rsidRDefault="007A578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FE98FA2" w14:textId="480B2813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>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trabajará con el Comité Asesor Científico (SAC) y el Asesor </w:t>
      </w:r>
      <w:r>
        <w:rPr>
          <w:rFonts w:ascii="Arial" w:hAnsi="Arial" w:cs="Arial"/>
          <w:sz w:val="22"/>
          <w:szCs w:val="22"/>
          <w:lang w:val="es-UY"/>
        </w:rPr>
        <w:t xml:space="preserve">en Ciencia y Política 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(SPAC) para tener en cuenta las consideraciones de la </w:t>
      </w:r>
      <w:r>
        <w:rPr>
          <w:rFonts w:ascii="Arial" w:hAnsi="Arial" w:cs="Arial"/>
          <w:sz w:val="22"/>
          <w:szCs w:val="22"/>
          <w:lang w:val="es-UY"/>
        </w:rPr>
        <w:t>EDI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cuando se presenten recomendaciones a las Partes sobre los candidatos al SAC y al SPAC.</w:t>
      </w:r>
    </w:p>
    <w:p w14:paraId="7E37FFE8" w14:textId="77777777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4561611D" w14:textId="4C965CE3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 xml:space="preserve">Los contratos y acuerdos de subvención del IAI que apoyen actividades científicas y de desarrollo de capacidades incluirán una cláusula sobre la necesidad de lograr la </w:t>
      </w:r>
      <w:r>
        <w:rPr>
          <w:rFonts w:ascii="Arial" w:hAnsi="Arial" w:cs="Arial"/>
          <w:sz w:val="22"/>
          <w:szCs w:val="22"/>
          <w:lang w:val="es-UY"/>
        </w:rPr>
        <w:t>EDI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de los participantes y de incluir análisis de las dimensiones de la </w:t>
      </w:r>
      <w:r w:rsidR="00B76F73">
        <w:rPr>
          <w:rFonts w:ascii="Arial" w:hAnsi="Arial" w:cs="Arial"/>
          <w:sz w:val="22"/>
          <w:szCs w:val="22"/>
          <w:lang w:val="es-UY"/>
        </w:rPr>
        <w:t>EDI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, según corresponda. La </w:t>
      </w:r>
      <w:r>
        <w:rPr>
          <w:rFonts w:ascii="Arial" w:hAnsi="Arial" w:cs="Arial"/>
          <w:sz w:val="22"/>
          <w:szCs w:val="22"/>
          <w:lang w:val="es-UY"/>
        </w:rPr>
        <w:t>EDI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deberá ser abordada en las propuestas y en los informes posteriores. </w:t>
      </w:r>
    </w:p>
    <w:p w14:paraId="43D77CDD" w14:textId="77777777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CDDF045" w14:textId="2A56A333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>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del IAI fomentará que las propuestas de proyectos desarrollen herramientas de seguimiento y evaluación de la </w:t>
      </w:r>
      <w:r w:rsidR="00B76F73">
        <w:rPr>
          <w:rFonts w:ascii="Arial" w:hAnsi="Arial" w:cs="Arial"/>
          <w:sz w:val="22"/>
          <w:szCs w:val="22"/>
          <w:lang w:val="es-UY"/>
        </w:rPr>
        <w:t>EDI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a lo largo de todo el proceso de investigación, desde el diseño hasta el desarrollo, la ejecución y el impacto del proyecto.</w:t>
      </w:r>
    </w:p>
    <w:p w14:paraId="29575392" w14:textId="77777777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4D3A8297" w14:textId="3CBC7CB5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 xml:space="preserve">Los programas de formación y becas apoyados por el IAI, como el Programa de </w:t>
      </w:r>
      <w:r>
        <w:rPr>
          <w:rFonts w:ascii="Arial" w:hAnsi="Arial" w:cs="Arial"/>
          <w:sz w:val="22"/>
          <w:szCs w:val="22"/>
          <w:lang w:val="es-UY"/>
        </w:rPr>
        <w:t>Fellowship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de Ciencia, Tecnología y Política (STeP) del IAI, pedirán a las Partes y a otros participantes que incluyan, según proceda, consideraciones sobre el EDI en la selección de </w:t>
      </w:r>
      <w:r w:rsidR="0036251B">
        <w:rPr>
          <w:rFonts w:ascii="Arial" w:hAnsi="Arial" w:cs="Arial"/>
          <w:sz w:val="22"/>
          <w:szCs w:val="22"/>
          <w:lang w:val="es-UY"/>
        </w:rPr>
        <w:t>beneficiarion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y mentores.</w:t>
      </w:r>
    </w:p>
    <w:p w14:paraId="2F4C8389" w14:textId="77777777" w:rsidR="00D303A4" w:rsidRPr="0018004B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55EDDA3" w14:textId="5F9B8A72" w:rsidR="00D303A4" w:rsidRPr="0018004B" w:rsidRDefault="00514B2D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18004B">
        <w:rPr>
          <w:rFonts w:ascii="Arial" w:hAnsi="Arial" w:cs="Arial"/>
          <w:b/>
          <w:bCs/>
          <w:sz w:val="22"/>
          <w:szCs w:val="22"/>
          <w:lang w:val="es-UY"/>
        </w:rPr>
        <w:t>Obje</w:t>
      </w:r>
      <w:r w:rsidR="0018004B" w:rsidRPr="0018004B">
        <w:rPr>
          <w:rFonts w:ascii="Arial" w:hAnsi="Arial" w:cs="Arial"/>
          <w:b/>
          <w:bCs/>
          <w:sz w:val="22"/>
          <w:szCs w:val="22"/>
          <w:lang w:val="es-UY"/>
        </w:rPr>
        <w:t>tivo</w:t>
      </w:r>
      <w:r w:rsidRPr="0018004B">
        <w:rPr>
          <w:rFonts w:ascii="Arial" w:hAnsi="Arial" w:cs="Arial"/>
          <w:b/>
          <w:bCs/>
          <w:sz w:val="22"/>
          <w:szCs w:val="22"/>
          <w:lang w:val="es-UY"/>
        </w:rPr>
        <w:t xml:space="preserve"> III: </w:t>
      </w:r>
      <w:r w:rsidR="0018004B" w:rsidRPr="0018004B">
        <w:rPr>
          <w:rFonts w:ascii="Arial" w:hAnsi="Arial" w:cs="Arial"/>
          <w:b/>
          <w:bCs/>
          <w:sz w:val="22"/>
          <w:szCs w:val="22"/>
          <w:lang w:val="es-UY"/>
        </w:rPr>
        <w:t>Reducir los desequilibrios y prejuicios en la selección de proyectos y el desarrollo de programas científicos y de capacitación.</w:t>
      </w:r>
    </w:p>
    <w:p w14:paraId="436978E7" w14:textId="77777777" w:rsidR="00D303A4" w:rsidRPr="0018004B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75269593" w14:textId="77777777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 xml:space="preserve">Se alentará a las personas de grupos subrepresentados a presentarse a las convocatorias de oportunidades específicas (por ejemplo, subvenciones, consultorías, becas). El IAI difundirá estas oportunidades a una amplia audiencia a través de diversos canales para asegurar el conocimiento de los grupos subrepresentados. </w:t>
      </w:r>
    </w:p>
    <w:p w14:paraId="644518B8" w14:textId="77777777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49D22F79" w14:textId="31FAFD8B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>La Dirección</w:t>
      </w:r>
      <w:r w:rsidR="007A7FD8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del IAI abordará el tema de la</w:t>
      </w:r>
      <w:r w:rsidR="007A7FD8">
        <w:rPr>
          <w:rFonts w:ascii="Arial" w:hAnsi="Arial" w:cs="Arial"/>
          <w:sz w:val="22"/>
          <w:szCs w:val="22"/>
          <w:lang w:val="es-UY"/>
        </w:rPr>
        <w:t xml:space="preserve"> EDI </w:t>
      </w:r>
      <w:r w:rsidRPr="0018004B">
        <w:rPr>
          <w:rFonts w:ascii="Arial" w:hAnsi="Arial" w:cs="Arial"/>
          <w:sz w:val="22"/>
          <w:szCs w:val="22"/>
          <w:lang w:val="es-UY"/>
        </w:rPr>
        <w:t xml:space="preserve"> en todo el proceso de revisión por pares, especialmente en la composición del panel de expertos, para seleccionar los proyectos y actividades del IAI.</w:t>
      </w:r>
    </w:p>
    <w:p w14:paraId="1F740CA0" w14:textId="77777777" w:rsidR="0018004B" w:rsidRPr="0018004B" w:rsidRDefault="0018004B" w:rsidP="0018004B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8352D39" w14:textId="43121AC7" w:rsidR="00D303A4" w:rsidRPr="007A7FD8" w:rsidRDefault="0018004B" w:rsidP="003F6DED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8004B">
        <w:rPr>
          <w:rFonts w:ascii="Arial" w:hAnsi="Arial" w:cs="Arial"/>
          <w:sz w:val="22"/>
          <w:szCs w:val="22"/>
          <w:lang w:val="es-UY"/>
        </w:rPr>
        <w:t>El IAI tratará de ofrecer oportunidades de investigación y financiación, sujetas a la disponibilidad de recursos externos, a individuos de grupos subrepresentados.</w:t>
      </w:r>
    </w:p>
    <w:p w14:paraId="514375A9" w14:textId="2405BC8C" w:rsidR="002E0644" w:rsidRPr="00B76F73" w:rsidRDefault="002E064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7E0BA21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7A7FD8">
        <w:rPr>
          <w:rFonts w:ascii="Arial" w:hAnsi="Arial" w:cs="Arial"/>
          <w:b/>
          <w:bCs/>
          <w:sz w:val="22"/>
          <w:szCs w:val="22"/>
          <w:lang w:val="es-UY"/>
        </w:rPr>
        <w:t>Objetivo IV: Establecer un entorno inclusivo en la investigación científica</w:t>
      </w:r>
    </w:p>
    <w:p w14:paraId="73514805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1044E553" w14:textId="16B62F50" w:rsidR="007A7FD8" w:rsidRPr="007A7FD8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7A7FD8">
        <w:rPr>
          <w:rFonts w:ascii="Arial" w:hAnsi="Arial" w:cs="Arial"/>
          <w:sz w:val="22"/>
          <w:szCs w:val="22"/>
          <w:lang w:val="es-UY"/>
        </w:rPr>
        <w:t>La Dirección</w:t>
      </w:r>
      <w:r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7A7FD8">
        <w:rPr>
          <w:rFonts w:ascii="Arial" w:hAnsi="Arial" w:cs="Arial"/>
          <w:sz w:val="22"/>
          <w:szCs w:val="22"/>
          <w:lang w:val="es-UY"/>
        </w:rPr>
        <w:t xml:space="preserve"> del IAI se esforzará por aumentar la </w:t>
      </w:r>
      <w:r w:rsidR="00104AED">
        <w:rPr>
          <w:rFonts w:ascii="Arial" w:hAnsi="Arial" w:cs="Arial"/>
          <w:sz w:val="22"/>
          <w:szCs w:val="22"/>
          <w:lang w:val="es-UY"/>
        </w:rPr>
        <w:t>EDI</w:t>
      </w:r>
      <w:r w:rsidRPr="007A7FD8">
        <w:rPr>
          <w:rFonts w:ascii="Arial" w:hAnsi="Arial" w:cs="Arial"/>
          <w:sz w:val="22"/>
          <w:szCs w:val="22"/>
          <w:lang w:val="es-UY"/>
        </w:rPr>
        <w:t xml:space="preserve"> en los equipos de investigación, incluidos los investigadores principales, los coinvestigadores y los estudiantes.</w:t>
      </w:r>
    </w:p>
    <w:p w14:paraId="3E1E5E38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E11659C" w14:textId="7BEA0736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lastRenderedPageBreak/>
        <w:t>La Dirección</w:t>
      </w:r>
      <w:r w:rsidR="00104AED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 del IAI promoverá la conciliación de la vida laboral y familiar en los proyectos científicos y en las propuestas de desarrollo de capacidades.</w:t>
      </w:r>
    </w:p>
    <w:p w14:paraId="6C73CE49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31BDC4B3" w14:textId="678B2FAA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La Dirección</w:t>
      </w:r>
      <w:r w:rsidR="00104AED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 del IAI gestionará sus acuerdos de subvención con la flexibilidad necesaria para adaptarse a las diferentes trayectorias profesionales y laborales de los </w:t>
      </w:r>
      <w:r w:rsidR="0036251B">
        <w:rPr>
          <w:rFonts w:ascii="Arial" w:hAnsi="Arial" w:cs="Arial"/>
          <w:sz w:val="22"/>
          <w:szCs w:val="22"/>
          <w:lang w:val="es-UY"/>
        </w:rPr>
        <w:t>beneficiarios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, según proceda. La Dirección </w:t>
      </w:r>
      <w:r w:rsidR="00104AED">
        <w:rPr>
          <w:rFonts w:ascii="Arial" w:hAnsi="Arial" w:cs="Arial"/>
          <w:sz w:val="22"/>
          <w:szCs w:val="22"/>
          <w:lang w:val="es-UY"/>
        </w:rPr>
        <w:t xml:space="preserve">Ejecutiva </w:t>
      </w:r>
      <w:r w:rsidRPr="00104AED">
        <w:rPr>
          <w:rFonts w:ascii="Arial" w:hAnsi="Arial" w:cs="Arial"/>
          <w:sz w:val="22"/>
          <w:szCs w:val="22"/>
          <w:lang w:val="es-UY"/>
        </w:rPr>
        <w:t>se esforzará por introducir extensiones del período de subvención y financiación adicional, según corresponda, y sujeto a la disponibilidad de recursos externos, para los investigadores que necesiten una licencia familiar o médica durante un período de financiación.</w:t>
      </w:r>
    </w:p>
    <w:p w14:paraId="582FDC5F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3F25FE15" w14:textId="5F571C01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7A7FD8">
        <w:rPr>
          <w:rFonts w:ascii="Arial" w:hAnsi="Arial" w:cs="Arial"/>
          <w:b/>
          <w:bCs/>
          <w:sz w:val="22"/>
          <w:szCs w:val="22"/>
          <w:lang w:val="es-UY"/>
        </w:rPr>
        <w:t xml:space="preserve">Objetivo V: Aumentar las capacidades regionales para mejorar la </w:t>
      </w:r>
      <w:r w:rsidR="00104AED">
        <w:rPr>
          <w:rFonts w:ascii="Arial" w:hAnsi="Arial" w:cs="Arial"/>
          <w:b/>
          <w:bCs/>
          <w:sz w:val="22"/>
          <w:szCs w:val="22"/>
          <w:lang w:val="es-UY"/>
        </w:rPr>
        <w:t>EDI</w:t>
      </w:r>
      <w:r w:rsidRPr="007A7FD8">
        <w:rPr>
          <w:rFonts w:ascii="Arial" w:hAnsi="Arial" w:cs="Arial"/>
          <w:b/>
          <w:bCs/>
          <w:sz w:val="22"/>
          <w:szCs w:val="22"/>
          <w:lang w:val="es-UY"/>
        </w:rPr>
        <w:t xml:space="preserve"> en las ciencias</w:t>
      </w:r>
    </w:p>
    <w:p w14:paraId="2F912FBD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6FE143C4" w14:textId="534BA68B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La Dirección</w:t>
      </w:r>
      <w:r w:rsidR="00104AED">
        <w:rPr>
          <w:rFonts w:ascii="Arial" w:hAnsi="Arial" w:cs="Arial"/>
          <w:sz w:val="22"/>
          <w:szCs w:val="22"/>
          <w:lang w:val="es-UY"/>
        </w:rPr>
        <w:t xml:space="preserve"> Ejecutiva </w:t>
      </w:r>
      <w:r w:rsidRPr="00104AED">
        <w:rPr>
          <w:rFonts w:ascii="Arial" w:hAnsi="Arial" w:cs="Arial"/>
          <w:sz w:val="22"/>
          <w:szCs w:val="22"/>
          <w:lang w:val="es-UY"/>
        </w:rPr>
        <w:t>del IAI implementará prácticas para apoyar a los científicos de grupos subrepresentados, aumentando la visibilidad, la participación genuina y el reconocimiento en las diferentes etapas de sus carreras.</w:t>
      </w:r>
    </w:p>
    <w:p w14:paraId="2FF1BBCD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67BE7C37" w14:textId="6B671DFF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 xml:space="preserve">La Dirección </w:t>
      </w:r>
      <w:r w:rsidR="00104AED">
        <w:rPr>
          <w:rFonts w:ascii="Arial" w:hAnsi="Arial" w:cs="Arial"/>
          <w:sz w:val="22"/>
          <w:szCs w:val="22"/>
          <w:lang w:val="es-UY"/>
        </w:rPr>
        <w:t xml:space="preserve">Ejecutiva </w:t>
      </w:r>
      <w:r w:rsidRPr="00104AED">
        <w:rPr>
          <w:rFonts w:ascii="Arial" w:hAnsi="Arial" w:cs="Arial"/>
          <w:sz w:val="22"/>
          <w:szCs w:val="22"/>
          <w:lang w:val="es-UY"/>
        </w:rPr>
        <w:t>del IAI se esforzará por desarrollar programas de tutoría para científicos de grupos subrepresentados con el fin de capacitarlos para futuros puestos de liderazgo.</w:t>
      </w:r>
    </w:p>
    <w:p w14:paraId="11B03488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FDC041F" w14:textId="484C17FB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 xml:space="preserve">La Dirección </w:t>
      </w:r>
      <w:r w:rsidR="00104AED">
        <w:rPr>
          <w:rFonts w:ascii="Arial" w:hAnsi="Arial" w:cs="Arial"/>
          <w:sz w:val="22"/>
          <w:szCs w:val="22"/>
          <w:lang w:val="es-UY"/>
        </w:rPr>
        <w:t xml:space="preserve">Ejecutiva </w:t>
      </w:r>
      <w:r w:rsidRPr="00104AED">
        <w:rPr>
          <w:rFonts w:ascii="Arial" w:hAnsi="Arial" w:cs="Arial"/>
          <w:sz w:val="22"/>
          <w:szCs w:val="22"/>
          <w:lang w:val="es-UY"/>
        </w:rPr>
        <w:t>del IAI incluirá los principios del EDI en las actividades de capacitación para aumentar la conciencia de los participantes sobre las disparidades existentes y la necesidad de igualdad en la ciencia.</w:t>
      </w:r>
    </w:p>
    <w:p w14:paraId="2696F460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829DBEC" w14:textId="7517CD49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 xml:space="preserve">La Dirección </w:t>
      </w:r>
      <w:r w:rsidR="00104AED">
        <w:rPr>
          <w:rFonts w:ascii="Arial" w:hAnsi="Arial" w:cs="Arial"/>
          <w:sz w:val="22"/>
          <w:szCs w:val="22"/>
          <w:lang w:val="es-UY"/>
        </w:rPr>
        <w:t xml:space="preserve">Ejecutiva 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del IAI desarrollará materiales de educación y formación, incluyendo materiales en línea, con voces y perspectivas diversas para presentar los desafíos y las mejores prácticas en materia de </w:t>
      </w:r>
      <w:r w:rsidR="00B76F73">
        <w:rPr>
          <w:rFonts w:ascii="Arial" w:hAnsi="Arial" w:cs="Arial"/>
          <w:sz w:val="22"/>
          <w:szCs w:val="22"/>
          <w:lang w:val="es-UY"/>
        </w:rPr>
        <w:t>EDI</w:t>
      </w:r>
      <w:r w:rsidRPr="007A7FD8">
        <w:rPr>
          <w:rFonts w:ascii="Arial" w:hAnsi="Arial" w:cs="Arial"/>
          <w:b/>
          <w:bCs/>
          <w:sz w:val="22"/>
          <w:szCs w:val="22"/>
          <w:lang w:val="es-UY"/>
        </w:rPr>
        <w:t>.</w:t>
      </w:r>
    </w:p>
    <w:p w14:paraId="48E6A66E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538B9E8E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7A7FD8">
        <w:rPr>
          <w:rFonts w:ascii="Arial" w:hAnsi="Arial" w:cs="Arial"/>
          <w:b/>
          <w:bCs/>
          <w:sz w:val="22"/>
          <w:szCs w:val="22"/>
          <w:lang w:val="es-UY"/>
        </w:rPr>
        <w:t>Consecuencias en materia de recursos</w:t>
      </w:r>
    </w:p>
    <w:p w14:paraId="2E4E8A33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El apoyo financiero a las actividades para implementar esta política depende de la disponibilidad de recursos financieros externos.</w:t>
      </w:r>
    </w:p>
    <w:p w14:paraId="16188D7D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46F8A869" w14:textId="5E0A7FEC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La Dirección</w:t>
      </w:r>
      <w:r w:rsidR="00104AED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 del IAI buscará recursos financieros externos de las Partes donantes, bancos de desarrollo, fundaciones y otras posibles fuentes para implementar los objetivos de esta política.</w:t>
      </w:r>
    </w:p>
    <w:p w14:paraId="4C61A03B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584CDA56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7A7FD8">
        <w:rPr>
          <w:rFonts w:ascii="Arial" w:hAnsi="Arial" w:cs="Arial"/>
          <w:b/>
          <w:bCs/>
          <w:sz w:val="22"/>
          <w:szCs w:val="22"/>
          <w:lang w:val="es-UY"/>
        </w:rPr>
        <w:t>Violación de esta política</w:t>
      </w:r>
    </w:p>
    <w:p w14:paraId="17610C75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Cualquier forma de agresión, incluyendo la intimidación basada en características protegidas, el racismo o el acoso sexual, no será tolerada en ninguna actividad del IAI. Puede dar lugar a la terminación de las actividades en el marco del contrato y/o a la terminación del apoyo financiero al proyecto.</w:t>
      </w:r>
    </w:p>
    <w:p w14:paraId="0127979C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1D041E80" w14:textId="4438E26C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Se anima a los denunciantes a informar del presunto incumplimiento de esta política al IAI</w:t>
      </w:r>
      <w:r w:rsidR="0036251B">
        <w:rPr>
          <w:rFonts w:ascii="Arial" w:hAnsi="Arial" w:cs="Arial"/>
          <w:sz w:val="22"/>
          <w:szCs w:val="22"/>
          <w:lang w:val="es-UY"/>
        </w:rPr>
        <w:t xml:space="preserve"> al </w:t>
      </w:r>
      <w:r w:rsidRPr="00104AED">
        <w:rPr>
          <w:rFonts w:ascii="Arial" w:hAnsi="Arial" w:cs="Arial"/>
          <w:sz w:val="22"/>
          <w:szCs w:val="22"/>
          <w:lang w:val="es-UY"/>
        </w:rPr>
        <w:t>Director Ejecutivo durante el desarrollo o la implementación del proyecto científico o la actividad de capacitación.</w:t>
      </w:r>
    </w:p>
    <w:p w14:paraId="4212C5F4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6540F6FB" w14:textId="77777777" w:rsidR="007A7FD8" w:rsidRPr="007A7FD8" w:rsidRDefault="007A7FD8" w:rsidP="007A7FD8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  <w:r w:rsidRPr="007A7FD8">
        <w:rPr>
          <w:rFonts w:ascii="Arial" w:hAnsi="Arial" w:cs="Arial"/>
          <w:b/>
          <w:bCs/>
          <w:sz w:val="22"/>
          <w:szCs w:val="22"/>
          <w:lang w:val="es-UY"/>
        </w:rPr>
        <w:t xml:space="preserve">Otros comentarios: </w:t>
      </w:r>
    </w:p>
    <w:p w14:paraId="084FF71E" w14:textId="0E4EB91A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>A través de la Evaluación Regional del IAI y otros mecanismos, la Dirección</w:t>
      </w:r>
      <w:r w:rsidR="00104AED">
        <w:rPr>
          <w:rFonts w:ascii="Arial" w:hAnsi="Arial" w:cs="Arial"/>
          <w:sz w:val="22"/>
          <w:szCs w:val="22"/>
          <w:lang w:val="es-UY"/>
        </w:rPr>
        <w:t xml:space="preserve"> Ejecutiva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 solicitará información a las Partes sobre sus recomendaciones para perfeccionar la política de </w:t>
      </w:r>
      <w:r w:rsidR="00104AED">
        <w:rPr>
          <w:rFonts w:ascii="Arial" w:hAnsi="Arial" w:cs="Arial"/>
          <w:sz w:val="22"/>
          <w:szCs w:val="22"/>
          <w:lang w:val="es-UY"/>
        </w:rPr>
        <w:t>EDI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 y mejorar su aplicación. </w:t>
      </w:r>
    </w:p>
    <w:p w14:paraId="7EC7FE01" w14:textId="77777777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0DB31A62" w14:textId="49AD5E4C" w:rsidR="007A7FD8" w:rsidRPr="00104AED" w:rsidRDefault="007A7FD8" w:rsidP="007A7FD8">
      <w:pPr>
        <w:jc w:val="both"/>
        <w:rPr>
          <w:rFonts w:ascii="Arial" w:hAnsi="Arial" w:cs="Arial"/>
          <w:sz w:val="22"/>
          <w:szCs w:val="22"/>
          <w:lang w:val="es-UY"/>
        </w:rPr>
      </w:pPr>
      <w:r w:rsidRPr="00104AED">
        <w:rPr>
          <w:rFonts w:ascii="Arial" w:hAnsi="Arial" w:cs="Arial"/>
          <w:sz w:val="22"/>
          <w:szCs w:val="22"/>
          <w:lang w:val="es-UY"/>
        </w:rPr>
        <w:t xml:space="preserve">Todo el trabajo realizado en el marco de la política de </w:t>
      </w:r>
      <w:r w:rsidR="00104AED">
        <w:rPr>
          <w:rFonts w:ascii="Arial" w:hAnsi="Arial" w:cs="Arial"/>
          <w:sz w:val="22"/>
          <w:szCs w:val="22"/>
          <w:lang w:val="es-UY"/>
        </w:rPr>
        <w:t>EDI</w:t>
      </w:r>
      <w:r w:rsidRPr="00104AED">
        <w:rPr>
          <w:rFonts w:ascii="Arial" w:hAnsi="Arial" w:cs="Arial"/>
          <w:sz w:val="22"/>
          <w:szCs w:val="22"/>
          <w:lang w:val="es-UY"/>
        </w:rPr>
        <w:t xml:space="preserve"> debe estar en consonancia con el acuerdo del IAI, el plan estratégico del IAI y la agenda científica.</w:t>
      </w:r>
    </w:p>
    <w:p w14:paraId="0BFC3697" w14:textId="77777777" w:rsidR="007A7FD8" w:rsidRPr="007A7FD8" w:rsidRDefault="007A7FD8" w:rsidP="003F6DED">
      <w:pPr>
        <w:jc w:val="both"/>
        <w:rPr>
          <w:rFonts w:ascii="Arial" w:hAnsi="Arial" w:cs="Arial"/>
          <w:b/>
          <w:bCs/>
          <w:sz w:val="22"/>
          <w:szCs w:val="22"/>
          <w:lang w:val="es-UY"/>
        </w:rPr>
      </w:pPr>
    </w:p>
    <w:p w14:paraId="3DF490BA" w14:textId="77777777" w:rsidR="00D303A4" w:rsidRPr="00B76F73" w:rsidRDefault="00D303A4" w:rsidP="003F6DE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UY"/>
        </w:rPr>
      </w:pPr>
    </w:p>
    <w:p w14:paraId="6A60F70D" w14:textId="77777777" w:rsidR="00D303A4" w:rsidRPr="00B76F73" w:rsidRDefault="00D303A4" w:rsidP="003F6DED">
      <w:pPr>
        <w:jc w:val="both"/>
        <w:rPr>
          <w:rFonts w:ascii="Arial" w:hAnsi="Arial" w:cs="Arial"/>
          <w:sz w:val="22"/>
          <w:szCs w:val="22"/>
          <w:lang w:val="es-UY"/>
        </w:rPr>
      </w:pPr>
    </w:p>
    <w:p w14:paraId="29A9D160" w14:textId="77777777" w:rsidR="002F3D83" w:rsidRPr="00B76F73" w:rsidRDefault="002F3D83">
      <w:pPr>
        <w:jc w:val="both"/>
        <w:rPr>
          <w:rFonts w:ascii="Arial" w:hAnsi="Arial" w:cs="Arial"/>
          <w:sz w:val="22"/>
          <w:szCs w:val="22"/>
          <w:lang w:val="es-UY"/>
        </w:rPr>
      </w:pPr>
    </w:p>
    <w:sectPr w:rsidR="002F3D83" w:rsidRPr="00B76F73" w:rsidSect="007C7A33">
      <w:pgSz w:w="11906" w:h="16838"/>
      <w:pgMar w:top="1134" w:right="1134" w:bottom="540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7127" w14:textId="77777777" w:rsidR="00AA1A28" w:rsidRDefault="00AA1A28" w:rsidP="006F1CD7">
      <w:r>
        <w:separator/>
      </w:r>
    </w:p>
  </w:endnote>
  <w:endnote w:type="continuationSeparator" w:id="0">
    <w:p w14:paraId="50112B7D" w14:textId="77777777" w:rsidR="00AA1A28" w:rsidRDefault="00AA1A28" w:rsidP="006F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atang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1900" w14:textId="77777777" w:rsidR="00AA1A28" w:rsidRDefault="00AA1A28" w:rsidP="006F1CD7">
      <w:r>
        <w:separator/>
      </w:r>
    </w:p>
  </w:footnote>
  <w:footnote w:type="continuationSeparator" w:id="0">
    <w:p w14:paraId="44B7F0AA" w14:textId="77777777" w:rsidR="00AA1A28" w:rsidRDefault="00AA1A28" w:rsidP="006F1CD7">
      <w:r>
        <w:continuationSeparator/>
      </w:r>
    </w:p>
  </w:footnote>
  <w:footnote w:id="1">
    <w:p w14:paraId="23770628" w14:textId="4B3D6E24" w:rsidR="005A019F" w:rsidRPr="005A019F" w:rsidRDefault="005A019F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5A019F">
        <w:rPr>
          <w:lang w:val="es-UY"/>
        </w:rPr>
        <w:t xml:space="preserve"> </w:t>
      </w:r>
      <w:r>
        <w:rPr>
          <w:lang w:val="es-UY"/>
        </w:rPr>
        <w:t xml:space="preserve">Ver: </w:t>
      </w:r>
      <w:hyperlink r:id="rId1" w:history="1">
        <w:r w:rsidRPr="005A019F">
          <w:rPr>
            <w:rStyle w:val="Hipervnculo"/>
            <w:sz w:val="18"/>
            <w:szCs w:val="18"/>
            <w:lang w:val="es-UY"/>
          </w:rPr>
          <w:t>https://en.unesco.org/science-sustainable-future/open-science/recommendation</w:t>
        </w:r>
      </w:hyperlink>
    </w:p>
  </w:footnote>
  <w:footnote w:id="2">
    <w:p w14:paraId="58EF8692" w14:textId="77777777" w:rsidR="00D25F93" w:rsidRPr="00D25F93" w:rsidRDefault="0072790F" w:rsidP="00D25F93">
      <w:pPr>
        <w:pStyle w:val="Textonotapie"/>
        <w:rPr>
          <w:sz w:val="18"/>
          <w:szCs w:val="18"/>
          <w:lang w:val="es-UY"/>
        </w:rPr>
      </w:pPr>
      <w:r>
        <w:rPr>
          <w:rStyle w:val="Refdenotaalpie"/>
        </w:rPr>
        <w:footnoteRef/>
      </w:r>
      <w:r w:rsidRPr="0072790F">
        <w:rPr>
          <w:lang w:val="es-UY"/>
        </w:rPr>
        <w:t xml:space="preserve"> </w:t>
      </w:r>
      <w:r w:rsidR="00D25F93" w:rsidRPr="00D25F93">
        <w:rPr>
          <w:sz w:val="18"/>
          <w:szCs w:val="18"/>
          <w:lang w:val="es-UY"/>
        </w:rPr>
        <w:t>Aguilar Revelo, L. 2021. La igualdad de género en medio del cambio climático: ¿qué pueden hacer los mecanismos</w:t>
      </w:r>
    </w:p>
    <w:p w14:paraId="6727A607" w14:textId="780A6282" w:rsidR="0072790F" w:rsidRPr="0072790F" w:rsidRDefault="00D25F93" w:rsidP="00D25F93">
      <w:pPr>
        <w:pStyle w:val="Textonotapie"/>
        <w:rPr>
          <w:lang w:val="es-UY"/>
        </w:rPr>
      </w:pPr>
      <w:r w:rsidRPr="00D25F93">
        <w:rPr>
          <w:sz w:val="18"/>
          <w:szCs w:val="18"/>
          <w:lang w:val="es-UY"/>
        </w:rPr>
        <w:t>para el adelanto de la mujer?. Serie Asuntos de Género, Nº 159 (LC/TS.2021/79), Santiago, Comisión Económica para América Latina y el Caribe (CEPAL).</w:t>
      </w:r>
    </w:p>
  </w:footnote>
  <w:footnote w:id="3">
    <w:p w14:paraId="5A794457" w14:textId="7082E3C8" w:rsidR="00D25F93" w:rsidRPr="00D25F93" w:rsidRDefault="00D25F93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D25F93">
        <w:rPr>
          <w:lang w:val="es-UY"/>
        </w:rPr>
        <w:t xml:space="preserve"> </w:t>
      </w:r>
      <w:r w:rsidRPr="00D25F93">
        <w:rPr>
          <w:sz w:val="18"/>
          <w:szCs w:val="18"/>
          <w:lang w:val="es-UY"/>
        </w:rPr>
        <w:t xml:space="preserve">Fundación Nacional de la Ciencia de los Estados Unidos. 2017. Mujeres, minorías y personas con discapacidad en la ciencia y la ingeniería. </w:t>
      </w:r>
      <w:r w:rsidRPr="00D25F93">
        <w:rPr>
          <w:sz w:val="18"/>
          <w:szCs w:val="18"/>
        </w:rPr>
        <w:t xml:space="preserve">Washington, D.C. </w:t>
      </w:r>
      <w:hyperlink r:id="rId2" w:history="1">
        <w:r w:rsidRPr="007064EF">
          <w:rPr>
            <w:rStyle w:val="Hipervnculo"/>
            <w:sz w:val="18"/>
            <w:szCs w:val="18"/>
          </w:rPr>
          <w:t>https://www.nsf.gov/statistics/2017/nsf17310/digest/introduction</w:t>
        </w:r>
      </w:hyperlink>
      <w:r>
        <w:rPr>
          <w:sz w:val="18"/>
          <w:szCs w:val="18"/>
        </w:rPr>
        <w:t xml:space="preserve"> </w:t>
      </w:r>
    </w:p>
  </w:footnote>
  <w:footnote w:id="4">
    <w:p w14:paraId="4ADA8BAC" w14:textId="3E4519C1" w:rsidR="00D25F93" w:rsidRPr="00A9202F" w:rsidRDefault="00D25F93">
      <w:pPr>
        <w:pStyle w:val="Textonotapie"/>
      </w:pPr>
      <w:r w:rsidRPr="00D25F93">
        <w:rPr>
          <w:rStyle w:val="Refdenotaalpie"/>
          <w:sz w:val="18"/>
          <w:szCs w:val="18"/>
        </w:rPr>
        <w:footnoteRef/>
      </w:r>
      <w:r w:rsidRPr="00D25F93">
        <w:rPr>
          <w:sz w:val="18"/>
          <w:szCs w:val="18"/>
          <w:lang w:val="es-UY"/>
        </w:rPr>
        <w:t xml:space="preserve"> Estados Unidos. Oficina del Censo. 2021. Las mujeres son casi la mitad de la mano de obra estadounidense, pero solo el 27% de los trabajadores de STEM. </w:t>
      </w:r>
      <w:hyperlink r:id="rId3" w:history="1">
        <w:r w:rsidRPr="00A9202F">
          <w:rPr>
            <w:rStyle w:val="Hipervnculo"/>
            <w:sz w:val="18"/>
            <w:szCs w:val="18"/>
          </w:rPr>
          <w:t>https://www.census.gov/library/stories/2021/01/women-making-gains-in-stem-occupations-but-still-underrepresented.html</w:t>
        </w:r>
      </w:hyperlink>
      <w:r w:rsidRPr="00A9202F">
        <w:rPr>
          <w:sz w:val="18"/>
          <w:szCs w:val="18"/>
        </w:rPr>
        <w:t xml:space="preserve">. </w:t>
      </w:r>
    </w:p>
  </w:footnote>
  <w:footnote w:id="5">
    <w:p w14:paraId="32367D3F" w14:textId="3F446B0A" w:rsidR="00D25F93" w:rsidRPr="00D25F93" w:rsidRDefault="00D25F93">
      <w:pPr>
        <w:pStyle w:val="Textonotapie"/>
        <w:rPr>
          <w:lang w:val="es-UY"/>
        </w:rPr>
      </w:pPr>
      <w:r w:rsidRPr="00B921F8">
        <w:rPr>
          <w:rStyle w:val="Refdenotaalpie"/>
          <w:sz w:val="18"/>
          <w:szCs w:val="18"/>
        </w:rPr>
        <w:footnoteRef/>
      </w:r>
      <w:r w:rsidRPr="00B921F8">
        <w:rPr>
          <w:sz w:val="18"/>
          <w:szCs w:val="18"/>
          <w:lang w:val="es-UY"/>
        </w:rPr>
        <w:t xml:space="preserve"> </w:t>
      </w:r>
      <w:r w:rsidR="00B921F8" w:rsidRPr="00B921F8">
        <w:rPr>
          <w:sz w:val="18"/>
          <w:szCs w:val="18"/>
          <w:lang w:val="es-UY"/>
        </w:rPr>
        <w:t xml:space="preserve">Instituto de Estadística de la UNESCO. 2020. Las mujeres en la ciencia. Hoja informativa nº 60. París: Francia. </w:t>
      </w:r>
      <w:hyperlink r:id="rId4" w:history="1">
        <w:r w:rsidR="00B921F8" w:rsidRPr="00B921F8">
          <w:rPr>
            <w:rStyle w:val="Hipervnculo"/>
            <w:sz w:val="18"/>
            <w:szCs w:val="18"/>
            <w:lang w:val="es-UY"/>
          </w:rPr>
          <w:t>http://uis.unesco.org/sites/default/files/documents/fs60-women-in-science-2020-en.pdf</w:t>
        </w:r>
      </w:hyperlink>
      <w:r w:rsidR="00B921F8" w:rsidRPr="00B921F8">
        <w:rPr>
          <w:sz w:val="18"/>
          <w:szCs w:val="18"/>
          <w:lang w:val="es-UY"/>
        </w:rPr>
        <w:t xml:space="preserve"> </w:t>
      </w:r>
    </w:p>
  </w:footnote>
  <w:footnote w:id="6">
    <w:p w14:paraId="641729DB" w14:textId="4F3DB2B5" w:rsidR="00B921F8" w:rsidRPr="00B921F8" w:rsidRDefault="00B921F8">
      <w:pPr>
        <w:pStyle w:val="Textonotapie"/>
        <w:rPr>
          <w:lang w:val="es-UY"/>
        </w:rPr>
      </w:pPr>
      <w:r w:rsidRPr="00B921F8">
        <w:rPr>
          <w:rStyle w:val="Refdenotaalpie"/>
          <w:sz w:val="18"/>
          <w:szCs w:val="18"/>
        </w:rPr>
        <w:footnoteRef/>
      </w:r>
      <w:r w:rsidRPr="00B921F8">
        <w:rPr>
          <w:sz w:val="18"/>
          <w:szCs w:val="18"/>
          <w:lang w:val="es-UY"/>
        </w:rPr>
        <w:t xml:space="preserve"> Castillo, R., Grazzi, M. y Tacsir, E. 2014. Las mujeres en la ciencia y la tecnología: ¿Qué dice la literatura? Nota técnica no. BID-TN-637. Washington, D.C.: Banco Interamericano de Desarrollo.</w:t>
      </w:r>
      <w:r>
        <w:rPr>
          <w:sz w:val="18"/>
          <w:szCs w:val="18"/>
          <w:lang w:val="es-UY"/>
        </w:rPr>
        <w:t xml:space="preserve"> </w:t>
      </w:r>
    </w:p>
  </w:footnote>
  <w:footnote w:id="7">
    <w:p w14:paraId="0B01F821" w14:textId="3B703C8E" w:rsidR="0093468C" w:rsidRPr="0093468C" w:rsidRDefault="0093468C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93468C">
        <w:rPr>
          <w:lang w:val="es-UY"/>
        </w:rPr>
        <w:t xml:space="preserve"> </w:t>
      </w:r>
      <w:r w:rsidRPr="0093468C">
        <w:rPr>
          <w:sz w:val="18"/>
          <w:szCs w:val="18"/>
          <w:lang w:val="es-UY"/>
        </w:rPr>
        <w:t xml:space="preserve">Universidad de Victoria (Canadá) y Canada Digital Technology Supercluster. (2021). Cuestiones y retos a los que se enfrentan los grupos infrarrepresentados en las industrias de la ingeniería y la informática. Victoria: Universidad de Victoria. </w:t>
      </w:r>
      <w:hyperlink r:id="rId5" w:history="1">
        <w:r w:rsidR="00D4265B" w:rsidRPr="007064EF">
          <w:rPr>
            <w:rStyle w:val="Hipervnculo"/>
            <w:sz w:val="18"/>
            <w:szCs w:val="18"/>
            <w:lang w:val="es-UY"/>
          </w:rPr>
          <w:t>https://www.uvic.ca/coopandcareer/assets/docs/issues-and-challenged-faced-by-underrepresented-groups.pdf</w:t>
        </w:r>
      </w:hyperlink>
      <w:r w:rsidRPr="0093468C">
        <w:rPr>
          <w:sz w:val="18"/>
          <w:szCs w:val="18"/>
          <w:lang w:val="es-UY"/>
        </w:rPr>
        <w:t>.</w:t>
      </w:r>
      <w:r w:rsidR="00D4265B">
        <w:rPr>
          <w:sz w:val="18"/>
          <w:szCs w:val="18"/>
          <w:lang w:val="es-UY"/>
        </w:rPr>
        <w:t xml:space="preserve"> </w:t>
      </w:r>
    </w:p>
  </w:footnote>
  <w:footnote w:id="8">
    <w:p w14:paraId="2E2ED851" w14:textId="0680DCE3" w:rsidR="003B7AF3" w:rsidRPr="003B7AF3" w:rsidRDefault="003B7AF3">
      <w:pPr>
        <w:pStyle w:val="Textonotapie"/>
        <w:rPr>
          <w:lang w:val="en-GB"/>
        </w:rPr>
      </w:pPr>
      <w:r w:rsidRPr="007C7A33">
        <w:rPr>
          <w:rStyle w:val="Refdenotaalpie"/>
          <w:sz w:val="18"/>
          <w:szCs w:val="18"/>
        </w:rPr>
        <w:footnoteRef/>
      </w:r>
      <w:r w:rsidRPr="007C7A33">
        <w:rPr>
          <w:sz w:val="18"/>
          <w:szCs w:val="18"/>
        </w:rPr>
        <w:t xml:space="preserve"> </w:t>
      </w:r>
      <w:r w:rsidR="007C7A33" w:rsidRPr="007C7A33">
        <w:rPr>
          <w:sz w:val="18"/>
          <w:szCs w:val="18"/>
        </w:rPr>
        <w:t>Crenshaw, K. 1989. Demarginalizing the Intersection of Race and Sex: A Black Feminist Critique of Antidiscrimination Doctrine, Feminist Theory, and Antiracist Politics. University of Chicago Legal Forum; 12(4).</w:t>
      </w:r>
    </w:p>
  </w:footnote>
  <w:footnote w:id="9">
    <w:p w14:paraId="499EE0BC" w14:textId="2ADEFEA6" w:rsidR="007C7A33" w:rsidRPr="007C7A33" w:rsidRDefault="007C7A33">
      <w:pPr>
        <w:pStyle w:val="Textonotapie"/>
        <w:rPr>
          <w:sz w:val="18"/>
          <w:szCs w:val="18"/>
          <w:lang w:val="es-UY"/>
        </w:rPr>
      </w:pPr>
      <w:r w:rsidRPr="007C7A33">
        <w:rPr>
          <w:rStyle w:val="Refdenotaalpie"/>
          <w:sz w:val="18"/>
          <w:szCs w:val="18"/>
        </w:rPr>
        <w:footnoteRef/>
      </w:r>
      <w:r w:rsidRPr="007C7A33">
        <w:rPr>
          <w:sz w:val="18"/>
          <w:szCs w:val="18"/>
          <w:lang w:val="es-UY"/>
        </w:rPr>
        <w:t xml:space="preserve">   Akotirene, C. Interseccionalidade. São Paulo: Pólen, 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A4"/>
    <w:rsid w:val="00010300"/>
    <w:rsid w:val="000210D5"/>
    <w:rsid w:val="000367FD"/>
    <w:rsid w:val="00036906"/>
    <w:rsid w:val="00054293"/>
    <w:rsid w:val="000568CD"/>
    <w:rsid w:val="00093D46"/>
    <w:rsid w:val="000A1D3D"/>
    <w:rsid w:val="000A3B51"/>
    <w:rsid w:val="000E73F4"/>
    <w:rsid w:val="00104AED"/>
    <w:rsid w:val="0013128E"/>
    <w:rsid w:val="00137ED3"/>
    <w:rsid w:val="0014071F"/>
    <w:rsid w:val="00142B91"/>
    <w:rsid w:val="0018004B"/>
    <w:rsid w:val="00196F59"/>
    <w:rsid w:val="001A4114"/>
    <w:rsid w:val="001A7DC8"/>
    <w:rsid w:val="001B06E3"/>
    <w:rsid w:val="001C023B"/>
    <w:rsid w:val="001C0478"/>
    <w:rsid w:val="001D5336"/>
    <w:rsid w:val="001D64EF"/>
    <w:rsid w:val="00200105"/>
    <w:rsid w:val="00264974"/>
    <w:rsid w:val="002712F6"/>
    <w:rsid w:val="002B1589"/>
    <w:rsid w:val="002C1853"/>
    <w:rsid w:val="002D5AE2"/>
    <w:rsid w:val="002E0644"/>
    <w:rsid w:val="002F3D83"/>
    <w:rsid w:val="00310F98"/>
    <w:rsid w:val="0034042F"/>
    <w:rsid w:val="00340F6B"/>
    <w:rsid w:val="00361C6F"/>
    <w:rsid w:val="0036251B"/>
    <w:rsid w:val="00362E12"/>
    <w:rsid w:val="003A3857"/>
    <w:rsid w:val="003B0616"/>
    <w:rsid w:val="003B7AF3"/>
    <w:rsid w:val="003E1381"/>
    <w:rsid w:val="003E17CB"/>
    <w:rsid w:val="003F41DA"/>
    <w:rsid w:val="003F6DED"/>
    <w:rsid w:val="0043213A"/>
    <w:rsid w:val="004738D7"/>
    <w:rsid w:val="004C6113"/>
    <w:rsid w:val="004F4CB4"/>
    <w:rsid w:val="00514B2D"/>
    <w:rsid w:val="00530C34"/>
    <w:rsid w:val="00532BB9"/>
    <w:rsid w:val="005358FD"/>
    <w:rsid w:val="00551DB4"/>
    <w:rsid w:val="00594371"/>
    <w:rsid w:val="00595927"/>
    <w:rsid w:val="005A019F"/>
    <w:rsid w:val="005A52D9"/>
    <w:rsid w:val="00686267"/>
    <w:rsid w:val="006B210F"/>
    <w:rsid w:val="006B2265"/>
    <w:rsid w:val="006F1CD7"/>
    <w:rsid w:val="00706606"/>
    <w:rsid w:val="0072790F"/>
    <w:rsid w:val="00732476"/>
    <w:rsid w:val="00733837"/>
    <w:rsid w:val="00797C9F"/>
    <w:rsid w:val="007A5784"/>
    <w:rsid w:val="007A7FD8"/>
    <w:rsid w:val="007C717D"/>
    <w:rsid w:val="007C7A33"/>
    <w:rsid w:val="007F2518"/>
    <w:rsid w:val="0081154E"/>
    <w:rsid w:val="00824F8F"/>
    <w:rsid w:val="008359C4"/>
    <w:rsid w:val="0085546E"/>
    <w:rsid w:val="00871653"/>
    <w:rsid w:val="00892708"/>
    <w:rsid w:val="008A25F1"/>
    <w:rsid w:val="008B4A88"/>
    <w:rsid w:val="008C3D0D"/>
    <w:rsid w:val="008D013E"/>
    <w:rsid w:val="008D505F"/>
    <w:rsid w:val="008E1506"/>
    <w:rsid w:val="009051AB"/>
    <w:rsid w:val="00906D3B"/>
    <w:rsid w:val="0091184A"/>
    <w:rsid w:val="00912816"/>
    <w:rsid w:val="00915DD7"/>
    <w:rsid w:val="00917182"/>
    <w:rsid w:val="0093097D"/>
    <w:rsid w:val="0093468C"/>
    <w:rsid w:val="00941B61"/>
    <w:rsid w:val="009C14EA"/>
    <w:rsid w:val="009C435E"/>
    <w:rsid w:val="00A03DA6"/>
    <w:rsid w:val="00A176E4"/>
    <w:rsid w:val="00A25304"/>
    <w:rsid w:val="00A44A79"/>
    <w:rsid w:val="00A7228A"/>
    <w:rsid w:val="00A9202F"/>
    <w:rsid w:val="00A95890"/>
    <w:rsid w:val="00AA1A28"/>
    <w:rsid w:val="00AA6C41"/>
    <w:rsid w:val="00AB02AA"/>
    <w:rsid w:val="00AB06E1"/>
    <w:rsid w:val="00AB278A"/>
    <w:rsid w:val="00B15676"/>
    <w:rsid w:val="00B1782F"/>
    <w:rsid w:val="00B53FE7"/>
    <w:rsid w:val="00B554C8"/>
    <w:rsid w:val="00B76F73"/>
    <w:rsid w:val="00B9013A"/>
    <w:rsid w:val="00B921F8"/>
    <w:rsid w:val="00BB0718"/>
    <w:rsid w:val="00C03078"/>
    <w:rsid w:val="00C069EE"/>
    <w:rsid w:val="00C62286"/>
    <w:rsid w:val="00C679BF"/>
    <w:rsid w:val="00C769B0"/>
    <w:rsid w:val="00CC5398"/>
    <w:rsid w:val="00CD436E"/>
    <w:rsid w:val="00CD6CF1"/>
    <w:rsid w:val="00CE56D8"/>
    <w:rsid w:val="00CE6909"/>
    <w:rsid w:val="00D24369"/>
    <w:rsid w:val="00D25F93"/>
    <w:rsid w:val="00D303A4"/>
    <w:rsid w:val="00D4265B"/>
    <w:rsid w:val="00D43A1E"/>
    <w:rsid w:val="00D451E8"/>
    <w:rsid w:val="00D46BDB"/>
    <w:rsid w:val="00D47CE9"/>
    <w:rsid w:val="00D50F66"/>
    <w:rsid w:val="00D51458"/>
    <w:rsid w:val="00D61CE1"/>
    <w:rsid w:val="00D93B9F"/>
    <w:rsid w:val="00DE754A"/>
    <w:rsid w:val="00DF1D85"/>
    <w:rsid w:val="00DF4ADA"/>
    <w:rsid w:val="00E14707"/>
    <w:rsid w:val="00E65B91"/>
    <w:rsid w:val="00E72657"/>
    <w:rsid w:val="00E87E85"/>
    <w:rsid w:val="00EC3D03"/>
    <w:rsid w:val="00EE0F37"/>
    <w:rsid w:val="00F04A4A"/>
    <w:rsid w:val="00F10F50"/>
    <w:rsid w:val="00F45E46"/>
    <w:rsid w:val="00F66DFC"/>
    <w:rsid w:val="00F72434"/>
    <w:rsid w:val="00F852D5"/>
    <w:rsid w:val="00F96EB6"/>
    <w:rsid w:val="00FA2B1D"/>
    <w:rsid w:val="00FA2E3E"/>
    <w:rsid w:val="00FA6828"/>
    <w:rsid w:val="00FC1D3F"/>
    <w:rsid w:val="00FC5477"/>
    <w:rsid w:val="00FD52B7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BF22"/>
  <w15:docId w15:val="{4E96B774-BD12-4F81-B767-3266678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fase">
    <w:name w:val="Ênfase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sz w:val="20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0367FD"/>
    <w:rPr>
      <w:rFonts w:cs="Mangal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67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67FD"/>
    <w:rPr>
      <w:rFonts w:cs="Mangal"/>
      <w:b/>
      <w:bCs/>
      <w:sz w:val="20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1CD7"/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1CD7"/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6F1CD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F1C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D0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D0D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019F"/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019F"/>
    <w:rPr>
      <w:rFonts w:cs="Mangal"/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5A0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nsus.gov/library/stories/2021/01/women-making-gains-in-stem-occupations-but-still-underrepresented.html" TargetMode="External"/><Relationship Id="rId2" Type="http://schemas.openxmlformats.org/officeDocument/2006/relationships/hyperlink" Target="https://www.nsf.gov/statistics/2017/nsf17310/digest/introduction" TargetMode="External"/><Relationship Id="rId1" Type="http://schemas.openxmlformats.org/officeDocument/2006/relationships/hyperlink" Target="https://en.unesco.org/science-sustainable-future/open-science/recommendation" TargetMode="External"/><Relationship Id="rId5" Type="http://schemas.openxmlformats.org/officeDocument/2006/relationships/hyperlink" Target="https://www.uvic.ca/coopandcareer/assets/docs/issues-and-challenged-faced-by-underrepresented-groups.pdf" TargetMode="External"/><Relationship Id="rId4" Type="http://schemas.openxmlformats.org/officeDocument/2006/relationships/hyperlink" Target="http://uis.unesco.org/sites/default/files/documents/fs60-women-in-science-2020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C9BDF-3F68-1E4A-AF02-845778D6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3158</Words>
  <Characters>18002</Characters>
  <Application>Microsoft Office Word</Application>
  <DocSecurity>4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Soporte Newquality</cp:lastModifiedBy>
  <cp:revision>2</cp:revision>
  <dcterms:created xsi:type="dcterms:W3CDTF">2022-03-31T17:04:00Z</dcterms:created>
  <dcterms:modified xsi:type="dcterms:W3CDTF">2022-03-31T17:04:00Z</dcterms:modified>
  <dc:language>en-GB</dc:language>
</cp:coreProperties>
</file>